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AGENCY FOR ACCREDITATION OF EDUCATIONAL PROGRAMMES AND ORGANISATIONS (AAEPO)</w:t>
      </w: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p>
    <w:p w:rsidR="00131E6E" w:rsidRDefault="00131E6E" w:rsidP="00131E6E">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r w:rsidRPr="00131E6E">
        <w:rPr>
          <w:rFonts w:ascii="Times New Roman" w:eastAsia="Times New Roman" w:hAnsi="Times New Roman" w:cs="Times New Roman"/>
          <w:b/>
          <w:bCs/>
          <w:sz w:val="24"/>
          <w:szCs w:val="24"/>
          <w:lang w:val="en-US" w:eastAsia="ru-RU"/>
        </w:rPr>
        <w:t>PRELIMINARY RESULTS OF THE INTERNATIONAL INSTITUTIONAL AND PROGRAMME ACCREDITATION OF THE EDUCATIONAL INSTITUTION "ASIAN INTERNATIONAL UNIVERSITY"</w:t>
      </w:r>
    </w:p>
    <w:p w:rsidR="00131E6E" w:rsidRPr="00131E6E" w:rsidRDefault="00131E6E" w:rsidP="00131E6E">
      <w:pPr>
        <w:spacing w:before="100" w:beforeAutospacing="1" w:after="100" w:afterAutospacing="1"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b/>
          <w:bCs/>
          <w:sz w:val="24"/>
          <w:szCs w:val="24"/>
          <w:lang w:eastAsia="ru-RU"/>
        </w:rPr>
        <w:t>Accredited</w:t>
      </w:r>
      <w:proofErr w:type="spellEnd"/>
      <w:r w:rsidRPr="00131E6E">
        <w:rPr>
          <w:rFonts w:ascii="Times New Roman" w:eastAsia="Times New Roman" w:hAnsi="Times New Roman" w:cs="Times New Roman"/>
          <w:b/>
          <w:bCs/>
          <w:sz w:val="24"/>
          <w:szCs w:val="24"/>
          <w:lang w:eastAsia="ru-RU"/>
        </w:rPr>
        <w:t xml:space="preserve"> </w:t>
      </w:r>
      <w:proofErr w:type="spellStart"/>
      <w:r w:rsidRPr="00131E6E">
        <w:rPr>
          <w:rFonts w:ascii="Times New Roman" w:eastAsia="Times New Roman" w:hAnsi="Times New Roman" w:cs="Times New Roman"/>
          <w:b/>
          <w:bCs/>
          <w:sz w:val="24"/>
          <w:szCs w:val="24"/>
          <w:lang w:eastAsia="ru-RU"/>
        </w:rPr>
        <w:t>Programmes</w:t>
      </w:r>
      <w:proofErr w:type="spellEnd"/>
      <w:r w:rsidRPr="00131E6E">
        <w:rPr>
          <w:rFonts w:ascii="Times New Roman" w:eastAsia="Times New Roman" w:hAnsi="Times New Roman" w:cs="Times New Roman"/>
          <w:b/>
          <w:bCs/>
          <w:sz w:val="24"/>
          <w:szCs w:val="24"/>
          <w:lang w:eastAsia="ru-RU"/>
        </w:rPr>
        <w:t>:</w:t>
      </w:r>
    </w:p>
    <w:p w:rsidR="00131E6E" w:rsidRPr="00131E6E" w:rsidRDefault="00131E6E" w:rsidP="00131E6E">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560001 </w:t>
      </w:r>
      <w:proofErr w:type="spellStart"/>
      <w:r w:rsidRPr="00131E6E">
        <w:rPr>
          <w:rFonts w:ascii="Times New Roman" w:eastAsia="Times New Roman" w:hAnsi="Times New Roman" w:cs="Times New Roman"/>
          <w:sz w:val="24"/>
          <w:szCs w:val="24"/>
          <w:lang w:eastAsia="ru-RU"/>
        </w:rPr>
        <w:t>General</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Medicine</w:t>
      </w:r>
      <w:proofErr w:type="spellEnd"/>
      <w:r w:rsidRPr="00131E6E">
        <w:rPr>
          <w:rFonts w:ascii="Times New Roman" w:eastAsia="Times New Roman" w:hAnsi="Times New Roman" w:cs="Times New Roman"/>
          <w:sz w:val="24"/>
          <w:szCs w:val="24"/>
          <w:lang w:eastAsia="ru-RU"/>
        </w:rPr>
        <w:t xml:space="preserve"> – 5-year </w:t>
      </w:r>
      <w:proofErr w:type="spellStart"/>
      <w:r w:rsidRPr="00131E6E">
        <w:rPr>
          <w:rFonts w:ascii="Times New Roman" w:eastAsia="Times New Roman" w:hAnsi="Times New Roman" w:cs="Times New Roman"/>
          <w:sz w:val="24"/>
          <w:szCs w:val="24"/>
          <w:lang w:eastAsia="ru-RU"/>
        </w:rPr>
        <w:t>programme</w:t>
      </w:r>
      <w:proofErr w:type="spellEnd"/>
    </w:p>
    <w:p w:rsidR="00131E6E" w:rsidRPr="00131E6E" w:rsidRDefault="00131E6E" w:rsidP="00131E6E">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560001 </w:t>
      </w:r>
      <w:proofErr w:type="spellStart"/>
      <w:r w:rsidRPr="00131E6E">
        <w:rPr>
          <w:rFonts w:ascii="Times New Roman" w:eastAsia="Times New Roman" w:hAnsi="Times New Roman" w:cs="Times New Roman"/>
          <w:sz w:val="24"/>
          <w:szCs w:val="24"/>
          <w:lang w:eastAsia="ru-RU"/>
        </w:rPr>
        <w:t>General</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Medicine</w:t>
      </w:r>
      <w:proofErr w:type="spellEnd"/>
      <w:r w:rsidRPr="00131E6E">
        <w:rPr>
          <w:rFonts w:ascii="Times New Roman" w:eastAsia="Times New Roman" w:hAnsi="Times New Roman" w:cs="Times New Roman"/>
          <w:sz w:val="24"/>
          <w:szCs w:val="24"/>
          <w:lang w:eastAsia="ru-RU"/>
        </w:rPr>
        <w:t xml:space="preserve"> – 6-year </w:t>
      </w:r>
      <w:proofErr w:type="spellStart"/>
      <w:r w:rsidRPr="00131E6E">
        <w:rPr>
          <w:rFonts w:ascii="Times New Roman" w:eastAsia="Times New Roman" w:hAnsi="Times New Roman" w:cs="Times New Roman"/>
          <w:sz w:val="24"/>
          <w:szCs w:val="24"/>
          <w:lang w:eastAsia="ru-RU"/>
        </w:rPr>
        <w:t>programme</w:t>
      </w:r>
      <w:proofErr w:type="spellEnd"/>
    </w:p>
    <w:p w:rsidR="00131E6E" w:rsidRPr="00131E6E" w:rsidRDefault="00131E6E" w:rsidP="00131E6E">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560004 </w:t>
      </w:r>
      <w:r w:rsidR="008F407A">
        <w:rPr>
          <w:rFonts w:ascii="Times New Roman" w:eastAsia="Times New Roman" w:hAnsi="Times New Roman" w:cs="Times New Roman"/>
          <w:sz w:val="24"/>
          <w:szCs w:val="24"/>
          <w:lang w:val="en-US" w:eastAsia="ru-RU"/>
        </w:rPr>
        <w:t>Stomatology</w:t>
      </w:r>
      <w:r w:rsidRPr="00131E6E">
        <w:rPr>
          <w:rFonts w:ascii="Times New Roman" w:eastAsia="Times New Roman" w:hAnsi="Times New Roman" w:cs="Times New Roman"/>
          <w:sz w:val="24"/>
          <w:szCs w:val="24"/>
          <w:lang w:eastAsia="ru-RU"/>
        </w:rPr>
        <w:t xml:space="preserve"> – 5-year </w:t>
      </w:r>
      <w:proofErr w:type="spellStart"/>
      <w:r w:rsidRPr="00131E6E">
        <w:rPr>
          <w:rFonts w:ascii="Times New Roman" w:eastAsia="Times New Roman" w:hAnsi="Times New Roman" w:cs="Times New Roman"/>
          <w:sz w:val="24"/>
          <w:szCs w:val="24"/>
          <w:lang w:eastAsia="ru-RU"/>
        </w:rPr>
        <w:t>programme</w:t>
      </w:r>
      <w:proofErr w:type="spellEnd"/>
    </w:p>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STANDARD 1. QUALITY ASSURANCE POLICY</w:t>
      </w: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r w:rsidRPr="00131E6E">
        <w:rPr>
          <w:rFonts w:ascii="Times New Roman" w:eastAsia="Times New Roman" w:hAnsi="Times New Roman" w:cs="Times New Roman"/>
          <w:b/>
          <w:bCs/>
          <w:sz w:val="24"/>
          <w:szCs w:val="24"/>
          <w:lang w:val="en-US" w:eastAsia="ru-RU"/>
        </w:rPr>
        <w:t>Weaknesses</w:t>
      </w:r>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mission statement is overly general, lacks sufficient specificity, and the mechanism for achieving the mission is described in vague terms.</w:t>
      </w:r>
    </w:p>
    <w:p w:rsidR="00131E6E" w:rsidRPr="00131E6E" w:rsidRDefault="00131E6E" w:rsidP="00131E6E">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The feasibility of implementing certain provisions of the Development </w:t>
      </w:r>
      <w:proofErr w:type="spellStart"/>
      <w:r w:rsidRPr="00131E6E">
        <w:rPr>
          <w:rFonts w:ascii="Times New Roman" w:eastAsia="Times New Roman" w:hAnsi="Times New Roman" w:cs="Times New Roman"/>
          <w:sz w:val="24"/>
          <w:szCs w:val="24"/>
          <w:lang w:val="en-US" w:eastAsia="ru-RU"/>
        </w:rPr>
        <w:t>Programme</w:t>
      </w:r>
      <w:proofErr w:type="spellEnd"/>
      <w:r w:rsidRPr="00131E6E">
        <w:rPr>
          <w:rFonts w:ascii="Times New Roman" w:eastAsia="Times New Roman" w:hAnsi="Times New Roman" w:cs="Times New Roman"/>
          <w:sz w:val="24"/>
          <w:szCs w:val="24"/>
          <w:lang w:val="en-US" w:eastAsia="ru-RU"/>
        </w:rPr>
        <w:t xml:space="preserve"> may be problematic.</w:t>
      </w:r>
    </w:p>
    <w:p w:rsidR="00131E6E" w:rsidRPr="00131E6E" w:rsidRDefault="00131E6E" w:rsidP="00131E6E">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University's Quality Management System (QMS) is at an early stage of development.</w:t>
      </w:r>
    </w:p>
    <w:p w:rsidR="00131E6E" w:rsidRPr="00131E6E" w:rsidRDefault="00131E6E" w:rsidP="00131E6E">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AIU has not participated in international university rankings.</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roofErr w:type="spellStart"/>
      <w:r w:rsidRPr="00131E6E">
        <w:rPr>
          <w:rFonts w:ascii="Times New Roman" w:eastAsia="Times New Roman" w:hAnsi="Times New Roman" w:cs="Times New Roman"/>
          <w:b/>
          <w:bCs/>
          <w:sz w:val="24"/>
          <w:szCs w:val="24"/>
          <w:lang w:eastAsia="ru-RU"/>
        </w:rPr>
        <w:t>Recommendations</w:t>
      </w:r>
      <w:proofErr w:type="spellEnd"/>
      <w:r>
        <w:rPr>
          <w:rFonts w:ascii="Times New Roman" w:eastAsia="Times New Roman" w:hAnsi="Times New Roman" w:cs="Times New Roman"/>
          <w:b/>
          <w:bCs/>
          <w:sz w:val="24"/>
          <w:szCs w:val="24"/>
          <w:lang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revise the mission statement by making it more specific, clearly defining the mechanisms for achieving it, and reflecting the University's unique characteristics.</w:t>
      </w:r>
    </w:p>
    <w:p w:rsidR="00131E6E" w:rsidRPr="00131E6E" w:rsidRDefault="00131E6E" w:rsidP="00131E6E">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revise the University's Strategic Development Plan to ensure the feasibility of its objectives and activities.</w:t>
      </w:r>
    </w:p>
    <w:p w:rsidR="00131E6E" w:rsidRPr="00131E6E" w:rsidRDefault="00131E6E" w:rsidP="00131E6E">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Within two years, complete the development and implementation of a Quality Management System compliant with ISO requirements and undergo certification.</w:t>
      </w:r>
    </w:p>
    <w:p w:rsidR="00131E6E" w:rsidRPr="00131E6E" w:rsidRDefault="00131E6E" w:rsidP="00131E6E">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Within three years, participate in an international university ranking.</w:t>
      </w:r>
    </w:p>
    <w:p w:rsidR="00131E6E" w:rsidRDefault="00131E6E"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131E6E">
        <w:rPr>
          <w:rFonts w:ascii="Times New Roman" w:eastAsia="Times New Roman" w:hAnsi="Times New Roman" w:cs="Times New Roman"/>
          <w:b/>
          <w:bCs/>
          <w:i/>
          <w:sz w:val="24"/>
          <w:szCs w:val="24"/>
          <w:lang w:val="en-US" w:eastAsia="ru-RU"/>
        </w:rPr>
        <w:t>Standard 1 is compliant with observations.</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bookmarkStart w:id="0" w:name="_GoBack"/>
    </w:p>
    <w:p w:rsidR="00131E6E" w:rsidRPr="00131E6E" w:rsidRDefault="00131E6E" w:rsidP="00131E6E">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r w:rsidRPr="00131E6E">
        <w:rPr>
          <w:rFonts w:ascii="Times New Roman" w:eastAsia="Times New Roman" w:hAnsi="Times New Roman" w:cs="Times New Roman"/>
          <w:b/>
          <w:bCs/>
          <w:kern w:val="36"/>
          <w:sz w:val="24"/>
          <w:szCs w:val="24"/>
          <w:lang w:eastAsia="ru-RU"/>
        </w:rPr>
        <w:t>STANDARD 2. ED</w:t>
      </w:r>
      <w:bookmarkEnd w:id="0"/>
      <w:r w:rsidRPr="00131E6E">
        <w:rPr>
          <w:rFonts w:ascii="Times New Roman" w:eastAsia="Times New Roman" w:hAnsi="Times New Roman" w:cs="Times New Roman"/>
          <w:b/>
          <w:bCs/>
          <w:kern w:val="36"/>
          <w:sz w:val="24"/>
          <w:szCs w:val="24"/>
          <w:lang w:eastAsia="ru-RU"/>
        </w:rPr>
        <w:t>UCATIONAL PROGRAMME</w:t>
      </w: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Weaknesses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131E6E" w:rsidRPr="00131E6E" w:rsidRDefault="00131E6E" w:rsidP="00131E6E">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The main educational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 xml:space="preserve">, </w:t>
      </w:r>
      <w:proofErr w:type="spellStart"/>
      <w:r w:rsidRPr="00131E6E">
        <w:rPr>
          <w:rFonts w:ascii="Times New Roman" w:eastAsia="Times New Roman" w:hAnsi="Times New Roman" w:cs="Times New Roman"/>
          <w:sz w:val="24"/>
          <w:szCs w:val="24"/>
          <w:lang w:val="en-US" w:eastAsia="ru-RU"/>
        </w:rPr>
        <w:t>programme</w:t>
      </w:r>
      <w:proofErr w:type="spellEnd"/>
      <w:r w:rsidRPr="00131E6E">
        <w:rPr>
          <w:rFonts w:ascii="Times New Roman" w:eastAsia="Times New Roman" w:hAnsi="Times New Roman" w:cs="Times New Roman"/>
          <w:sz w:val="24"/>
          <w:szCs w:val="24"/>
          <w:lang w:val="en-US" w:eastAsia="ru-RU"/>
        </w:rPr>
        <w:t xml:space="preserve"> objectives, and intended learning outcomes do not fully comply with international best practices.</w:t>
      </w:r>
    </w:p>
    <w:p w:rsidR="00131E6E" w:rsidRPr="00131E6E" w:rsidRDefault="00131E6E" w:rsidP="00131E6E">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Social partners are insufficiently involved in the monitoring of educational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Recommendations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October 2026</w:t>
      </w:r>
      <w:r w:rsidRPr="00131E6E">
        <w:rPr>
          <w:rFonts w:ascii="Times New Roman" w:eastAsia="Times New Roman" w:hAnsi="Times New Roman" w:cs="Times New Roman"/>
          <w:sz w:val="24"/>
          <w:szCs w:val="24"/>
          <w:lang w:val="en-US" w:eastAsia="ru-RU"/>
        </w:rPr>
        <w:t xml:space="preserve">, undertake appropriate training and revise the educational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 xml:space="preserve">, </w:t>
      </w:r>
      <w:proofErr w:type="spellStart"/>
      <w:r w:rsidRPr="00131E6E">
        <w:rPr>
          <w:rFonts w:ascii="Times New Roman" w:eastAsia="Times New Roman" w:hAnsi="Times New Roman" w:cs="Times New Roman"/>
          <w:sz w:val="24"/>
          <w:szCs w:val="24"/>
          <w:lang w:val="en-US" w:eastAsia="ru-RU"/>
        </w:rPr>
        <w:t>programme</w:t>
      </w:r>
      <w:proofErr w:type="spellEnd"/>
      <w:r w:rsidRPr="00131E6E">
        <w:rPr>
          <w:rFonts w:ascii="Times New Roman" w:eastAsia="Times New Roman" w:hAnsi="Times New Roman" w:cs="Times New Roman"/>
          <w:sz w:val="24"/>
          <w:szCs w:val="24"/>
          <w:lang w:val="en-US" w:eastAsia="ru-RU"/>
        </w:rPr>
        <w:t xml:space="preserve"> objectives, and intended learning outcomes in accordance with international best practices.</w:t>
      </w:r>
    </w:p>
    <w:p w:rsidR="00131E6E" w:rsidRPr="00131E6E" w:rsidRDefault="00131E6E" w:rsidP="00131E6E">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xml:space="preserve">, revise the Regulations on Educational </w:t>
      </w:r>
      <w:proofErr w:type="spellStart"/>
      <w:r w:rsidRPr="00131E6E">
        <w:rPr>
          <w:rFonts w:ascii="Times New Roman" w:eastAsia="Times New Roman" w:hAnsi="Times New Roman" w:cs="Times New Roman"/>
          <w:sz w:val="24"/>
          <w:szCs w:val="24"/>
          <w:lang w:val="en-US" w:eastAsia="ru-RU"/>
        </w:rPr>
        <w:t>Programme</w:t>
      </w:r>
      <w:proofErr w:type="spellEnd"/>
      <w:r w:rsidRPr="00131E6E">
        <w:rPr>
          <w:rFonts w:ascii="Times New Roman" w:eastAsia="Times New Roman" w:hAnsi="Times New Roman" w:cs="Times New Roman"/>
          <w:sz w:val="24"/>
          <w:szCs w:val="24"/>
          <w:lang w:val="en-US" w:eastAsia="ru-RU"/>
        </w:rPr>
        <w:t xml:space="preserve"> Monitoring to ensure mandatory participation of social partners.</w:t>
      </w:r>
    </w:p>
    <w:p w:rsid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b/>
          <w:bCs/>
          <w:i/>
          <w:sz w:val="24"/>
          <w:szCs w:val="24"/>
          <w:lang w:val="en-US" w:eastAsia="ru-RU"/>
        </w:rPr>
      </w:pPr>
    </w:p>
    <w:p w:rsidR="00131E6E" w:rsidRP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131E6E">
        <w:rPr>
          <w:rFonts w:ascii="Times New Roman" w:eastAsia="Times New Roman" w:hAnsi="Times New Roman" w:cs="Times New Roman"/>
          <w:b/>
          <w:bCs/>
          <w:i/>
          <w:sz w:val="24"/>
          <w:szCs w:val="24"/>
          <w:lang w:val="en-US" w:eastAsia="ru-RU"/>
        </w:rPr>
        <w:t>Standard 2 is compliant with observations.</w:t>
      </w: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lastRenderedPageBreak/>
        <w:t>STANDARD 3. STUDENT-CENTRED LEARNING AND ASSESSMENT OF STUDENT ACHIEVEMENT</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Strengths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University has established and effectively operates a comprehensive student attendance management system.</w:t>
      </w:r>
    </w:p>
    <w:p w:rsidR="00131E6E" w:rsidRPr="00131E6E" w:rsidRDefault="00131E6E" w:rsidP="00131E6E">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Active learning methods are widely implemented, including Team-Based Learning, Problem-Based Learning, and Case-Based Learning.</w:t>
      </w:r>
    </w:p>
    <w:p w:rsidR="00131E6E" w:rsidRPr="00131E6E" w:rsidRDefault="00131E6E" w:rsidP="00131E6E">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University's official website is available in six languages (Kyrgyz, Russian, English, Kazakh, Hindi, and Urdu).</w:t>
      </w:r>
    </w:p>
    <w:p w:rsidR="00131E6E" w:rsidRPr="00131E6E" w:rsidRDefault="00131E6E" w:rsidP="00131E6E">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Intensive work is underway to develop an English–Kyrgyz medical dictionary.</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Weaknesses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An insufficient number of additional courses, electives, and student clubs are available to support extracurricular activities.</w:t>
      </w:r>
    </w:p>
    <w:p w:rsidR="00131E6E" w:rsidRPr="00131E6E" w:rsidRDefault="00131E6E" w:rsidP="00131E6E">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level of international student academic mobility is relatively low.</w:t>
      </w:r>
    </w:p>
    <w:p w:rsidR="00131E6E" w:rsidRPr="00131E6E" w:rsidRDefault="00131E6E" w:rsidP="00131E6E">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Student participation in international Olympiads and conferences is insufficient.</w:t>
      </w:r>
    </w:p>
    <w:p w:rsidR="00131E6E" w:rsidRPr="00131E6E" w:rsidRDefault="00131E6E" w:rsidP="00131E6E">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Students demonstrate a low level of proficiency in Kyrgyz and Russian for effective communication with patients.</w:t>
      </w:r>
    </w:p>
    <w:p w:rsidR="00131E6E" w:rsidRPr="00131E6E" w:rsidRDefault="00131E6E" w:rsidP="00131E6E">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Feedback indicators are not systematically used to improve student-</w:t>
      </w:r>
      <w:proofErr w:type="spellStart"/>
      <w:r w:rsidRPr="00131E6E">
        <w:rPr>
          <w:rFonts w:ascii="Times New Roman" w:eastAsia="Times New Roman" w:hAnsi="Times New Roman" w:cs="Times New Roman"/>
          <w:sz w:val="24"/>
          <w:szCs w:val="24"/>
          <w:lang w:val="en-US" w:eastAsia="ru-RU"/>
        </w:rPr>
        <w:t>centred</w:t>
      </w:r>
      <w:proofErr w:type="spellEnd"/>
      <w:r w:rsidRPr="00131E6E">
        <w:rPr>
          <w:rFonts w:ascii="Times New Roman" w:eastAsia="Times New Roman" w:hAnsi="Times New Roman" w:cs="Times New Roman"/>
          <w:sz w:val="24"/>
          <w:szCs w:val="24"/>
          <w:lang w:val="en-US" w:eastAsia="ru-RU"/>
        </w:rPr>
        <w:t xml:space="preserve"> learning.</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Recommendations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revise the plan for developing additional courses, electives, and student clubs, including annual evaluation of outcomes.</w:t>
      </w:r>
    </w:p>
    <w:p w:rsidR="00131E6E" w:rsidRPr="00131E6E" w:rsidRDefault="00131E6E" w:rsidP="00131E6E">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an action plan to enhance international student academic mobility, including annual monitoring and corrective measures.</w:t>
      </w:r>
    </w:p>
    <w:p w:rsidR="00131E6E" w:rsidRPr="00131E6E" w:rsidRDefault="00131E6E" w:rsidP="00131E6E">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 plan to increase student participation in international Olympiads and conferences, with annual evaluation of results.</w:t>
      </w:r>
    </w:p>
    <w:p w:rsidR="00131E6E" w:rsidRPr="00131E6E" w:rsidRDefault="00131E6E" w:rsidP="00131E6E">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measures to improve students' proficiency in Kyrgyz and Russian for communication with patients. Complete the development of the English–Kyrgyz dictionary within one year.</w:t>
      </w:r>
    </w:p>
    <w:p w:rsidR="00131E6E" w:rsidRPr="00131E6E" w:rsidRDefault="00131E6E" w:rsidP="00131E6E">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 system for utilizing feedback indicators to enhance student-</w:t>
      </w:r>
      <w:proofErr w:type="spellStart"/>
      <w:r w:rsidRPr="00131E6E">
        <w:rPr>
          <w:rFonts w:ascii="Times New Roman" w:eastAsia="Times New Roman" w:hAnsi="Times New Roman" w:cs="Times New Roman"/>
          <w:sz w:val="24"/>
          <w:szCs w:val="24"/>
          <w:lang w:val="en-US" w:eastAsia="ru-RU"/>
        </w:rPr>
        <w:t>centred</w:t>
      </w:r>
      <w:proofErr w:type="spellEnd"/>
      <w:r w:rsidRPr="00131E6E">
        <w:rPr>
          <w:rFonts w:ascii="Times New Roman" w:eastAsia="Times New Roman" w:hAnsi="Times New Roman" w:cs="Times New Roman"/>
          <w:sz w:val="24"/>
          <w:szCs w:val="24"/>
          <w:lang w:val="en-US" w:eastAsia="ru-RU"/>
        </w:rPr>
        <w:t xml:space="preserve"> learning, including annual evaluation of outcomes.</w:t>
      </w:r>
    </w:p>
    <w:p w:rsidR="00131E6E" w:rsidRDefault="00131E6E"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131E6E">
        <w:rPr>
          <w:rFonts w:ascii="Times New Roman" w:eastAsia="Times New Roman" w:hAnsi="Times New Roman" w:cs="Times New Roman"/>
          <w:b/>
          <w:bCs/>
          <w:i/>
          <w:sz w:val="24"/>
          <w:szCs w:val="24"/>
          <w:lang w:val="en-US" w:eastAsia="ru-RU"/>
        </w:rPr>
        <w:t>Standard 3 is compliant with observations.</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 xml:space="preserve">STANDARD </w:t>
      </w:r>
      <w:proofErr w:type="gramStart"/>
      <w:r w:rsidRPr="00131E6E">
        <w:rPr>
          <w:rFonts w:ascii="Times New Roman" w:eastAsia="Times New Roman" w:hAnsi="Times New Roman" w:cs="Times New Roman"/>
          <w:b/>
          <w:bCs/>
          <w:kern w:val="36"/>
          <w:sz w:val="24"/>
          <w:szCs w:val="24"/>
          <w:lang w:val="en-US" w:eastAsia="ru-RU"/>
        </w:rPr>
        <w:t>4</w:t>
      </w:r>
      <w:proofErr w:type="gramEnd"/>
      <w:r w:rsidRPr="00131E6E">
        <w:rPr>
          <w:rFonts w:ascii="Times New Roman" w:eastAsia="Times New Roman" w:hAnsi="Times New Roman" w:cs="Times New Roman"/>
          <w:b/>
          <w:bCs/>
          <w:kern w:val="36"/>
          <w:sz w:val="24"/>
          <w:szCs w:val="24"/>
          <w:lang w:val="en-US" w:eastAsia="ru-RU"/>
        </w:rPr>
        <w:t>. ADMISSION OF STUDENTS AND RECOGNITION OF PRIOR LEARNING</w:t>
      </w: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p>
    <w:p w:rsidR="00131E6E" w:rsidRPr="008F407A" w:rsidRDefault="00131E6E" w:rsidP="00131E6E">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8F407A">
        <w:rPr>
          <w:rFonts w:ascii="Times New Roman" w:eastAsia="Times New Roman" w:hAnsi="Times New Roman" w:cs="Times New Roman"/>
          <w:b/>
          <w:bCs/>
          <w:sz w:val="24"/>
          <w:szCs w:val="24"/>
          <w:lang w:val="en-US" w:eastAsia="ru-RU"/>
        </w:rPr>
        <w:t>Standard 4 is compliant.</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 xml:space="preserve">STANDARD </w:t>
      </w:r>
      <w:proofErr w:type="gramStart"/>
      <w:r w:rsidRPr="00131E6E">
        <w:rPr>
          <w:rFonts w:ascii="Times New Roman" w:eastAsia="Times New Roman" w:hAnsi="Times New Roman" w:cs="Times New Roman"/>
          <w:b/>
          <w:bCs/>
          <w:kern w:val="36"/>
          <w:sz w:val="24"/>
          <w:szCs w:val="24"/>
          <w:lang w:val="en-US" w:eastAsia="ru-RU"/>
        </w:rPr>
        <w:t>5</w:t>
      </w:r>
      <w:proofErr w:type="gramEnd"/>
      <w:r w:rsidRPr="00131E6E">
        <w:rPr>
          <w:rFonts w:ascii="Times New Roman" w:eastAsia="Times New Roman" w:hAnsi="Times New Roman" w:cs="Times New Roman"/>
          <w:b/>
          <w:bCs/>
          <w:kern w:val="36"/>
          <w:sz w:val="24"/>
          <w:szCs w:val="24"/>
          <w:lang w:val="en-US" w:eastAsia="ru-RU"/>
        </w:rPr>
        <w:t>. ACADEMIC AND SUPPORT STAFF</w:t>
      </w: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r w:rsidRPr="00131E6E">
        <w:rPr>
          <w:rFonts w:ascii="Times New Roman" w:eastAsia="Times New Roman" w:hAnsi="Times New Roman" w:cs="Times New Roman"/>
          <w:b/>
          <w:bCs/>
          <w:sz w:val="24"/>
          <w:szCs w:val="24"/>
          <w:lang w:val="en-US" w:eastAsia="ru-RU"/>
        </w:rPr>
        <w:t>Strengths</w:t>
      </w:r>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 comprehensive, balanced, and multi-level system of staff motivation and incentives is in place.</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lastRenderedPageBreak/>
        <w:t>Weaknesses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131E6E" w:rsidRPr="00131E6E" w:rsidRDefault="00131E6E" w:rsidP="00131E6E">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proportion of academic staff holding academic degrees and academic titles is insufficient (11%).</w:t>
      </w:r>
    </w:p>
    <w:p w:rsidR="00131E6E" w:rsidRPr="00131E6E" w:rsidRDefault="00131E6E" w:rsidP="00131E6E">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Academic staff participation in international professional development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 xml:space="preserve"> is limited (one recorded case).</w:t>
      </w:r>
    </w:p>
    <w:p w:rsidR="00131E6E" w:rsidRPr="00131E6E" w:rsidRDefault="00131E6E" w:rsidP="00131E6E">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incentive system is incomplete, as the amounts of certain financial rewards have not been specified.</w:t>
      </w:r>
    </w:p>
    <w:p w:rsidR="00131E6E" w:rsidRPr="00131E6E" w:rsidRDefault="00131E6E" w:rsidP="00131E6E">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Academic staff demonstrate insufficient activity in developing their own teaching and methodological materials.</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Recommendations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revise the plan for developing teaching and methodological materials, including annual evaluation and corrective actions.</w:t>
      </w:r>
    </w:p>
    <w:p w:rsidR="00131E6E" w:rsidRPr="00131E6E" w:rsidRDefault="00131E6E" w:rsidP="00131E6E">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Within three years, increase the proportion of academic staff holding academic degrees and titles to meet the requirements of the State Educational Standards of the Kyrgyz Republic.</w:t>
      </w:r>
    </w:p>
    <w:p w:rsidR="00131E6E" w:rsidRPr="00131E6E" w:rsidRDefault="00131E6E" w:rsidP="00131E6E">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an action plan to strengthen international academic mobility of academic staff.</w:t>
      </w:r>
    </w:p>
    <w:p w:rsidR="00131E6E" w:rsidRPr="00131E6E" w:rsidRDefault="00131E6E" w:rsidP="00131E6E">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January 2027</w:t>
      </w:r>
      <w:r w:rsidRPr="00131E6E">
        <w:rPr>
          <w:rFonts w:ascii="Times New Roman" w:eastAsia="Times New Roman" w:hAnsi="Times New Roman" w:cs="Times New Roman"/>
          <w:sz w:val="24"/>
          <w:szCs w:val="24"/>
          <w:lang w:val="en-US" w:eastAsia="ru-RU"/>
        </w:rPr>
        <w:t>, complete the incentive system by introducing a transparent mechanism for incentive payments, including clearly defined payment amounts.</w:t>
      </w:r>
    </w:p>
    <w:p w:rsidR="00131E6E" w:rsidRDefault="00131E6E"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131E6E">
        <w:rPr>
          <w:rFonts w:ascii="Times New Roman" w:eastAsia="Times New Roman" w:hAnsi="Times New Roman" w:cs="Times New Roman"/>
          <w:b/>
          <w:bCs/>
          <w:i/>
          <w:sz w:val="24"/>
          <w:szCs w:val="24"/>
          <w:lang w:val="en-US" w:eastAsia="ru-RU"/>
        </w:rPr>
        <w:t>Standard 5 is compliant with observations.</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 xml:space="preserve">STANDARD </w:t>
      </w:r>
      <w:proofErr w:type="gramStart"/>
      <w:r w:rsidRPr="00131E6E">
        <w:rPr>
          <w:rFonts w:ascii="Times New Roman" w:eastAsia="Times New Roman" w:hAnsi="Times New Roman" w:cs="Times New Roman"/>
          <w:b/>
          <w:bCs/>
          <w:kern w:val="36"/>
          <w:sz w:val="24"/>
          <w:szCs w:val="24"/>
          <w:lang w:val="en-US" w:eastAsia="ru-RU"/>
        </w:rPr>
        <w:t>6</w:t>
      </w:r>
      <w:proofErr w:type="gramEnd"/>
      <w:r w:rsidRPr="00131E6E">
        <w:rPr>
          <w:rFonts w:ascii="Times New Roman" w:eastAsia="Times New Roman" w:hAnsi="Times New Roman" w:cs="Times New Roman"/>
          <w:b/>
          <w:bCs/>
          <w:kern w:val="36"/>
          <w:sz w:val="24"/>
          <w:szCs w:val="24"/>
          <w:lang w:val="en-US" w:eastAsia="ru-RU"/>
        </w:rPr>
        <w:t>. MATERIAL, TECHNICAL AND INFORMATION RESOURCES</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Strengths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University possesses a well-developed infrastructure that provides all necessary conditions for a high-quality educational process.</w:t>
      </w:r>
    </w:p>
    <w:p w:rsidR="00131E6E" w:rsidRPr="008F407A" w:rsidRDefault="00131E6E"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8F407A"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8F407A">
        <w:rPr>
          <w:rFonts w:ascii="Times New Roman" w:eastAsia="Times New Roman" w:hAnsi="Times New Roman" w:cs="Times New Roman"/>
          <w:b/>
          <w:bCs/>
          <w:i/>
          <w:sz w:val="24"/>
          <w:szCs w:val="24"/>
          <w:lang w:val="en-US" w:eastAsia="ru-RU"/>
        </w:rPr>
        <w:t>Standard 6 is compliant.</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 xml:space="preserve">STANDARD </w:t>
      </w:r>
      <w:proofErr w:type="gramStart"/>
      <w:r w:rsidRPr="00131E6E">
        <w:rPr>
          <w:rFonts w:ascii="Times New Roman" w:eastAsia="Times New Roman" w:hAnsi="Times New Roman" w:cs="Times New Roman"/>
          <w:b/>
          <w:bCs/>
          <w:kern w:val="36"/>
          <w:sz w:val="24"/>
          <w:szCs w:val="24"/>
          <w:lang w:val="en-US" w:eastAsia="ru-RU"/>
        </w:rPr>
        <w:t>7</w:t>
      </w:r>
      <w:proofErr w:type="gramEnd"/>
      <w:r w:rsidRPr="00131E6E">
        <w:rPr>
          <w:rFonts w:ascii="Times New Roman" w:eastAsia="Times New Roman" w:hAnsi="Times New Roman" w:cs="Times New Roman"/>
          <w:b/>
          <w:bCs/>
          <w:kern w:val="36"/>
          <w:sz w:val="24"/>
          <w:szCs w:val="24"/>
          <w:lang w:val="en-US" w:eastAsia="ru-RU"/>
        </w:rPr>
        <w:t>. RESEARCH, METHODOLOGICAL AND SCIENTIFIC ACTIVITY</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Strengths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The University publishes its own scientific and practical journal, </w:t>
      </w:r>
      <w:r w:rsidRPr="00131E6E">
        <w:rPr>
          <w:rFonts w:ascii="Times New Roman" w:eastAsia="Times New Roman" w:hAnsi="Times New Roman" w:cs="Times New Roman"/>
          <w:i/>
          <w:iCs/>
          <w:sz w:val="24"/>
          <w:szCs w:val="24"/>
          <w:lang w:val="en-US" w:eastAsia="ru-RU"/>
        </w:rPr>
        <w:t xml:space="preserve">“Bulletin of S. </w:t>
      </w:r>
      <w:proofErr w:type="spellStart"/>
      <w:r w:rsidRPr="00131E6E">
        <w:rPr>
          <w:rFonts w:ascii="Times New Roman" w:eastAsia="Times New Roman" w:hAnsi="Times New Roman" w:cs="Times New Roman"/>
          <w:i/>
          <w:iCs/>
          <w:sz w:val="24"/>
          <w:szCs w:val="24"/>
          <w:lang w:val="en-US" w:eastAsia="ru-RU"/>
        </w:rPr>
        <w:t>Tentishev</w:t>
      </w:r>
      <w:proofErr w:type="spellEnd"/>
      <w:r w:rsidRPr="00131E6E">
        <w:rPr>
          <w:rFonts w:ascii="Times New Roman" w:eastAsia="Times New Roman" w:hAnsi="Times New Roman" w:cs="Times New Roman"/>
          <w:i/>
          <w:iCs/>
          <w:sz w:val="24"/>
          <w:szCs w:val="24"/>
          <w:lang w:val="en-US" w:eastAsia="ru-RU"/>
        </w:rPr>
        <w:t xml:space="preserve"> Asian International University”</w:t>
      </w:r>
      <w:r w:rsidRPr="00131E6E">
        <w:rPr>
          <w:rFonts w:ascii="Times New Roman" w:eastAsia="Times New Roman" w:hAnsi="Times New Roman" w:cs="Times New Roman"/>
          <w:sz w:val="24"/>
          <w:szCs w:val="24"/>
          <w:lang w:val="en-US" w:eastAsia="ru-RU"/>
        </w:rPr>
        <w:t>, as well as an internal scientific journal dedicated to student publications.</w:t>
      </w:r>
    </w:p>
    <w:p w:rsidR="00131E6E" w:rsidRPr="00131E6E" w:rsidRDefault="00131E6E" w:rsidP="00131E6E">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The University directly finances publication activities, including the preparation and publication of scientific articles, methodological guides, and recommendations, and supports conferences, Olympiads, and participation of staff and students in external academic events.</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Weaknesses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Approximately 65% of scientific articles were published in the same non-indexed journals (</w:t>
      </w:r>
      <w:r w:rsidRPr="00131E6E">
        <w:rPr>
          <w:rFonts w:ascii="Times New Roman" w:eastAsia="Times New Roman" w:hAnsi="Times New Roman" w:cs="Times New Roman"/>
          <w:i/>
          <w:iCs/>
          <w:sz w:val="24"/>
          <w:szCs w:val="24"/>
          <w:lang w:val="en-US" w:eastAsia="ru-RU"/>
        </w:rPr>
        <w:t>New Science</w:t>
      </w:r>
      <w:r w:rsidRPr="00131E6E">
        <w:rPr>
          <w:rFonts w:ascii="Times New Roman" w:eastAsia="Times New Roman" w:hAnsi="Times New Roman" w:cs="Times New Roman"/>
          <w:sz w:val="24"/>
          <w:szCs w:val="24"/>
          <w:lang w:val="en-US" w:eastAsia="ru-RU"/>
        </w:rPr>
        <w:t xml:space="preserve"> and </w:t>
      </w:r>
      <w:r w:rsidRPr="00131E6E">
        <w:rPr>
          <w:rFonts w:ascii="Times New Roman" w:eastAsia="Times New Roman" w:hAnsi="Times New Roman" w:cs="Times New Roman"/>
          <w:i/>
          <w:iCs/>
          <w:sz w:val="24"/>
          <w:szCs w:val="24"/>
          <w:lang w:val="en-US" w:eastAsia="ru-RU"/>
        </w:rPr>
        <w:t>AIU Bulletin</w:t>
      </w:r>
      <w:r w:rsidRPr="00131E6E">
        <w:rPr>
          <w:rFonts w:ascii="Times New Roman" w:eastAsia="Times New Roman" w:hAnsi="Times New Roman" w:cs="Times New Roman"/>
          <w:sz w:val="24"/>
          <w:szCs w:val="24"/>
          <w:lang w:val="en-US" w:eastAsia="ru-RU"/>
        </w:rPr>
        <w:t>), which are not included in the core collection of the Russian Science Citation Index (RSCI).</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lastRenderedPageBreak/>
        <w:t>Recommendations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an action plan to increase publication activity in indexed journals, including annual evaluation of outcomes.</w:t>
      </w:r>
    </w:p>
    <w:p w:rsidR="00131E6E" w:rsidRDefault="00131E6E"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131E6E">
        <w:rPr>
          <w:rFonts w:ascii="Times New Roman" w:eastAsia="Times New Roman" w:hAnsi="Times New Roman" w:cs="Times New Roman"/>
          <w:b/>
          <w:bCs/>
          <w:i/>
          <w:sz w:val="24"/>
          <w:szCs w:val="24"/>
          <w:lang w:val="en-US" w:eastAsia="ru-RU"/>
        </w:rPr>
        <w:t>Standard 7 is compliant with observations.</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Pr="00131E6E" w:rsidRDefault="00131E6E" w:rsidP="00131E6E">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 xml:space="preserve">STANDARD </w:t>
      </w:r>
      <w:proofErr w:type="gramStart"/>
      <w:r w:rsidRPr="00131E6E">
        <w:rPr>
          <w:rFonts w:ascii="Times New Roman" w:eastAsia="Times New Roman" w:hAnsi="Times New Roman" w:cs="Times New Roman"/>
          <w:b/>
          <w:bCs/>
          <w:kern w:val="36"/>
          <w:sz w:val="24"/>
          <w:szCs w:val="24"/>
          <w:lang w:val="en-US" w:eastAsia="ru-RU"/>
        </w:rPr>
        <w:t>8</w:t>
      </w:r>
      <w:proofErr w:type="gramEnd"/>
      <w:r w:rsidRPr="00131E6E">
        <w:rPr>
          <w:rFonts w:ascii="Times New Roman" w:eastAsia="Times New Roman" w:hAnsi="Times New Roman" w:cs="Times New Roman"/>
          <w:b/>
          <w:bCs/>
          <w:kern w:val="36"/>
          <w:sz w:val="24"/>
          <w:szCs w:val="24"/>
          <w:lang w:val="en-US" w:eastAsia="ru-RU"/>
        </w:rPr>
        <w:t>. FINANCIAL RESOURCES OF THE EDUCATIONAL ORGANISATION</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Strengths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numPr>
          <w:ilvl w:val="0"/>
          <w:numId w:val="1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Active involvement of the founder in financing the educational process.</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roofErr w:type="spellStart"/>
      <w:r w:rsidRPr="00131E6E">
        <w:rPr>
          <w:rFonts w:ascii="Times New Roman" w:eastAsia="Times New Roman" w:hAnsi="Times New Roman" w:cs="Times New Roman"/>
          <w:b/>
          <w:bCs/>
          <w:sz w:val="24"/>
          <w:szCs w:val="24"/>
          <w:lang w:eastAsia="ru-RU"/>
        </w:rPr>
        <w:t>Recommendations</w:t>
      </w:r>
      <w:proofErr w:type="spellEnd"/>
      <w:r>
        <w:rPr>
          <w:rFonts w:ascii="Times New Roman" w:eastAsia="Times New Roman" w:hAnsi="Times New Roman" w:cs="Times New Roman"/>
          <w:b/>
          <w:bCs/>
          <w:sz w:val="24"/>
          <w:szCs w:val="24"/>
          <w:lang w:val="en-US" w:eastAsia="ru-RU"/>
        </w:rPr>
        <w:t>:</w:t>
      </w:r>
    </w:p>
    <w:p w:rsidR="00131E6E" w:rsidRPr="00131E6E"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131E6E" w:rsidRPr="00131E6E" w:rsidRDefault="00131E6E" w:rsidP="00131E6E">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By </w:t>
      </w:r>
      <w:r w:rsidRPr="00131E6E">
        <w:rPr>
          <w:rFonts w:ascii="Times New Roman" w:eastAsia="Times New Roman" w:hAnsi="Times New Roman" w:cs="Times New Roman"/>
          <w:b/>
          <w:bCs/>
          <w:sz w:val="24"/>
          <w:szCs w:val="24"/>
          <w:lang w:val="en-US" w:eastAsia="ru-RU"/>
        </w:rPr>
        <w:t>1 September 2026</w:t>
      </w:r>
      <w:r w:rsidRPr="00131E6E">
        <w:rPr>
          <w:rFonts w:ascii="Times New Roman" w:eastAsia="Times New Roman" w:hAnsi="Times New Roman" w:cs="Times New Roman"/>
          <w:sz w:val="24"/>
          <w:szCs w:val="24"/>
          <w:lang w:val="en-US" w:eastAsia="ru-RU"/>
        </w:rPr>
        <w:t>, develop and implement an action plan aimed at diversifying the University's income sources (grants, contract research, projects, etc.).</w:t>
      </w:r>
    </w:p>
    <w:p w:rsidR="00131E6E" w:rsidRPr="008F407A" w:rsidRDefault="00131E6E" w:rsidP="00131E6E">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131E6E" w:rsidRPr="008F407A" w:rsidRDefault="00131E6E" w:rsidP="00131E6E">
      <w:pPr>
        <w:spacing w:before="100" w:beforeAutospacing="1" w:after="100" w:afterAutospacing="1" w:line="240" w:lineRule="auto"/>
        <w:contextualSpacing/>
        <w:jc w:val="center"/>
        <w:rPr>
          <w:rFonts w:ascii="Times New Roman" w:eastAsia="Times New Roman" w:hAnsi="Times New Roman" w:cs="Times New Roman"/>
          <w:i/>
          <w:sz w:val="24"/>
          <w:szCs w:val="24"/>
          <w:lang w:val="en-US" w:eastAsia="ru-RU"/>
        </w:rPr>
      </w:pPr>
      <w:r w:rsidRPr="008F407A">
        <w:rPr>
          <w:rFonts w:ascii="Times New Roman" w:eastAsia="Times New Roman" w:hAnsi="Times New Roman" w:cs="Times New Roman"/>
          <w:b/>
          <w:bCs/>
          <w:i/>
          <w:sz w:val="24"/>
          <w:szCs w:val="24"/>
          <w:lang w:val="en-US" w:eastAsia="ru-RU"/>
        </w:rPr>
        <w:t>Standard 8 is compliant.</w:t>
      </w:r>
    </w:p>
    <w:p w:rsidR="00131E6E" w:rsidRPr="008F407A" w:rsidRDefault="00131E6E" w:rsidP="00131E6E">
      <w:pPr>
        <w:spacing w:after="0" w:line="240" w:lineRule="auto"/>
        <w:contextualSpacing/>
        <w:rPr>
          <w:rFonts w:ascii="Times New Roman" w:eastAsia="Times New Roman" w:hAnsi="Times New Roman" w:cs="Times New Roman"/>
          <w:sz w:val="24"/>
          <w:szCs w:val="24"/>
          <w:lang w:val="en-US" w:eastAsia="ru-RU"/>
        </w:rPr>
      </w:pPr>
    </w:p>
    <w:p w:rsidR="00131E6E" w:rsidRPr="00131E6E" w:rsidRDefault="00131E6E" w:rsidP="00131E6E">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OVERALL EVALUATION OF COMPLIANCE WITH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2795"/>
      </w:tblGrid>
      <w:tr w:rsidR="00131E6E" w:rsidRPr="008F407A" w:rsidTr="00131E6E">
        <w:trPr>
          <w:tblCellSpacing w:w="15" w:type="dxa"/>
        </w:trPr>
        <w:tc>
          <w:tcPr>
            <w:tcW w:w="0" w:type="auto"/>
            <w:vAlign w:val="center"/>
          </w:tcPr>
          <w:p w:rsidR="00131E6E" w:rsidRPr="008F407A" w:rsidRDefault="00131E6E" w:rsidP="00131E6E">
            <w:pPr>
              <w:spacing w:after="0" w:line="240" w:lineRule="auto"/>
              <w:contextualSpacing/>
              <w:jc w:val="center"/>
              <w:rPr>
                <w:rFonts w:ascii="Times New Roman" w:eastAsia="Times New Roman" w:hAnsi="Times New Roman" w:cs="Times New Roman"/>
                <w:b/>
                <w:bCs/>
                <w:sz w:val="24"/>
                <w:szCs w:val="24"/>
                <w:lang w:val="en-US" w:eastAsia="ru-RU"/>
              </w:rPr>
            </w:pPr>
          </w:p>
        </w:tc>
        <w:tc>
          <w:tcPr>
            <w:tcW w:w="0" w:type="auto"/>
            <w:vAlign w:val="center"/>
          </w:tcPr>
          <w:p w:rsidR="00131E6E" w:rsidRPr="008F407A" w:rsidRDefault="00131E6E" w:rsidP="00131E6E">
            <w:pPr>
              <w:spacing w:after="0" w:line="240" w:lineRule="auto"/>
              <w:contextualSpacing/>
              <w:jc w:val="center"/>
              <w:rPr>
                <w:rFonts w:ascii="Times New Roman" w:eastAsia="Times New Roman" w:hAnsi="Times New Roman" w:cs="Times New Roman"/>
                <w:b/>
                <w:bCs/>
                <w:sz w:val="24"/>
                <w:szCs w:val="24"/>
                <w:lang w:val="en-US" w:eastAsia="ru-RU"/>
              </w:rPr>
            </w:pPr>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1</w:t>
            </w:r>
          </w:p>
        </w:tc>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131E6E">
              <w:rPr>
                <w:rFonts w:ascii="Times New Roman" w:eastAsia="Times New Roman" w:hAnsi="Times New Roman" w:cs="Times New Roman"/>
                <w:sz w:val="24"/>
                <w:szCs w:val="24"/>
                <w:lang w:eastAsia="ru-RU"/>
              </w:rPr>
              <w:t>ompliant</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with</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observations</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2</w:t>
            </w:r>
          </w:p>
        </w:tc>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131E6E">
              <w:rPr>
                <w:rFonts w:ascii="Times New Roman" w:eastAsia="Times New Roman" w:hAnsi="Times New Roman" w:cs="Times New Roman"/>
                <w:sz w:val="24"/>
                <w:szCs w:val="24"/>
                <w:lang w:eastAsia="ru-RU"/>
              </w:rPr>
              <w:t>ompliant</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with</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observations</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3</w:t>
            </w:r>
          </w:p>
        </w:tc>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131E6E">
              <w:rPr>
                <w:rFonts w:ascii="Times New Roman" w:eastAsia="Times New Roman" w:hAnsi="Times New Roman" w:cs="Times New Roman"/>
                <w:sz w:val="24"/>
                <w:szCs w:val="24"/>
                <w:lang w:eastAsia="ru-RU"/>
              </w:rPr>
              <w:t>ompliant</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with</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observations</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4</w:t>
            </w:r>
          </w:p>
        </w:tc>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131E6E">
              <w:rPr>
                <w:rFonts w:ascii="Times New Roman" w:eastAsia="Times New Roman" w:hAnsi="Times New Roman" w:cs="Times New Roman"/>
                <w:sz w:val="24"/>
                <w:szCs w:val="24"/>
                <w:lang w:eastAsia="ru-RU"/>
              </w:rPr>
              <w:t>ompliant</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5</w:t>
            </w:r>
          </w:p>
        </w:tc>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131E6E">
              <w:rPr>
                <w:rFonts w:ascii="Times New Roman" w:eastAsia="Times New Roman" w:hAnsi="Times New Roman" w:cs="Times New Roman"/>
                <w:sz w:val="24"/>
                <w:szCs w:val="24"/>
                <w:lang w:eastAsia="ru-RU"/>
              </w:rPr>
              <w:t>ompliant</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with</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observations</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val="en-US"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6</w:t>
            </w:r>
          </w:p>
        </w:tc>
        <w:tc>
          <w:tcPr>
            <w:tcW w:w="0" w:type="auto"/>
            <w:vAlign w:val="center"/>
            <w:hideMark/>
          </w:tcPr>
          <w:p w:rsidR="00131E6E" w:rsidRPr="00131E6E" w:rsidRDefault="00F53689"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00131E6E" w:rsidRPr="00131E6E">
              <w:rPr>
                <w:rFonts w:ascii="Times New Roman" w:eastAsia="Times New Roman" w:hAnsi="Times New Roman" w:cs="Times New Roman"/>
                <w:sz w:val="24"/>
                <w:szCs w:val="24"/>
                <w:lang w:eastAsia="ru-RU"/>
              </w:rPr>
              <w:t>ompliant</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7</w:t>
            </w:r>
          </w:p>
        </w:tc>
        <w:tc>
          <w:tcPr>
            <w:tcW w:w="0" w:type="auto"/>
            <w:vAlign w:val="center"/>
            <w:hideMark/>
          </w:tcPr>
          <w:p w:rsidR="00131E6E" w:rsidRPr="00131E6E" w:rsidRDefault="00F53689"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00131E6E" w:rsidRPr="00131E6E">
              <w:rPr>
                <w:rFonts w:ascii="Times New Roman" w:eastAsia="Times New Roman" w:hAnsi="Times New Roman" w:cs="Times New Roman"/>
                <w:sz w:val="24"/>
                <w:szCs w:val="24"/>
                <w:lang w:eastAsia="ru-RU"/>
              </w:rPr>
              <w:t>ompliant</w:t>
            </w:r>
            <w:proofErr w:type="spellEnd"/>
            <w:r w:rsidR="00131E6E" w:rsidRPr="00131E6E">
              <w:rPr>
                <w:rFonts w:ascii="Times New Roman" w:eastAsia="Times New Roman" w:hAnsi="Times New Roman" w:cs="Times New Roman"/>
                <w:sz w:val="24"/>
                <w:szCs w:val="24"/>
                <w:lang w:eastAsia="ru-RU"/>
              </w:rPr>
              <w:t xml:space="preserve"> </w:t>
            </w:r>
            <w:proofErr w:type="spellStart"/>
            <w:r w:rsidR="00131E6E" w:rsidRPr="00131E6E">
              <w:rPr>
                <w:rFonts w:ascii="Times New Roman" w:eastAsia="Times New Roman" w:hAnsi="Times New Roman" w:cs="Times New Roman"/>
                <w:sz w:val="24"/>
                <w:szCs w:val="24"/>
                <w:lang w:eastAsia="ru-RU"/>
              </w:rPr>
              <w:t>with</w:t>
            </w:r>
            <w:proofErr w:type="spellEnd"/>
            <w:r w:rsidR="00131E6E" w:rsidRPr="00131E6E">
              <w:rPr>
                <w:rFonts w:ascii="Times New Roman" w:eastAsia="Times New Roman" w:hAnsi="Times New Roman" w:cs="Times New Roman"/>
                <w:sz w:val="24"/>
                <w:szCs w:val="24"/>
                <w:lang w:eastAsia="ru-RU"/>
              </w:rPr>
              <w:t xml:space="preserve"> </w:t>
            </w:r>
            <w:proofErr w:type="spellStart"/>
            <w:r w:rsidR="00131E6E" w:rsidRPr="00131E6E">
              <w:rPr>
                <w:rFonts w:ascii="Times New Roman" w:eastAsia="Times New Roman" w:hAnsi="Times New Roman" w:cs="Times New Roman"/>
                <w:sz w:val="24"/>
                <w:szCs w:val="24"/>
                <w:lang w:eastAsia="ru-RU"/>
              </w:rPr>
              <w:t>observations</w:t>
            </w:r>
            <w:proofErr w:type="spellEnd"/>
          </w:p>
        </w:tc>
      </w:tr>
      <w:tr w:rsidR="00131E6E" w:rsidRPr="00131E6E" w:rsidTr="00131E6E">
        <w:trPr>
          <w:tblCellSpacing w:w="15" w:type="dxa"/>
        </w:trPr>
        <w:tc>
          <w:tcPr>
            <w:tcW w:w="0" w:type="auto"/>
            <w:vAlign w:val="center"/>
            <w:hideMark/>
          </w:tcPr>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roofErr w:type="spellStart"/>
            <w:r w:rsidRPr="00131E6E">
              <w:rPr>
                <w:rFonts w:ascii="Times New Roman" w:eastAsia="Times New Roman" w:hAnsi="Times New Roman" w:cs="Times New Roman"/>
                <w:sz w:val="24"/>
                <w:szCs w:val="24"/>
                <w:lang w:eastAsia="ru-RU"/>
              </w:rPr>
              <w:t>Standard</w:t>
            </w:r>
            <w:proofErr w:type="spellEnd"/>
            <w:r w:rsidRPr="00131E6E">
              <w:rPr>
                <w:rFonts w:ascii="Times New Roman" w:eastAsia="Times New Roman" w:hAnsi="Times New Roman" w:cs="Times New Roman"/>
                <w:sz w:val="24"/>
                <w:szCs w:val="24"/>
                <w:lang w:eastAsia="ru-RU"/>
              </w:rPr>
              <w:t xml:space="preserve"> 8</w:t>
            </w:r>
          </w:p>
        </w:tc>
        <w:tc>
          <w:tcPr>
            <w:tcW w:w="0" w:type="auto"/>
            <w:vAlign w:val="center"/>
            <w:hideMark/>
          </w:tcPr>
          <w:p w:rsidR="00131E6E" w:rsidRPr="00131E6E" w:rsidRDefault="00F53689" w:rsidP="00131E6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00131E6E" w:rsidRPr="00131E6E">
              <w:rPr>
                <w:rFonts w:ascii="Times New Roman" w:eastAsia="Times New Roman" w:hAnsi="Times New Roman" w:cs="Times New Roman"/>
                <w:sz w:val="24"/>
                <w:szCs w:val="24"/>
                <w:lang w:eastAsia="ru-RU"/>
              </w:rPr>
              <w:t>ompliant</w:t>
            </w:r>
            <w:proofErr w:type="spellEnd"/>
          </w:p>
        </w:tc>
      </w:tr>
    </w:tbl>
    <w:p w:rsidR="00131E6E" w:rsidRPr="00131E6E" w:rsidRDefault="00131E6E" w:rsidP="00131E6E">
      <w:pPr>
        <w:spacing w:after="0" w:line="240" w:lineRule="auto"/>
        <w:contextualSpacing/>
        <w:rPr>
          <w:rFonts w:ascii="Times New Roman" w:eastAsia="Times New Roman" w:hAnsi="Times New Roman" w:cs="Times New Roman"/>
          <w:sz w:val="24"/>
          <w:szCs w:val="24"/>
          <w:lang w:eastAsia="ru-RU"/>
        </w:rPr>
      </w:pPr>
    </w:p>
    <w:p w:rsidR="00131E6E" w:rsidRDefault="00131E6E" w:rsidP="00131E6E">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val="en-US" w:eastAsia="ru-RU"/>
        </w:rPr>
      </w:pPr>
      <w:r w:rsidRPr="00131E6E">
        <w:rPr>
          <w:rFonts w:ascii="Times New Roman" w:eastAsia="Times New Roman" w:hAnsi="Times New Roman" w:cs="Times New Roman"/>
          <w:b/>
          <w:bCs/>
          <w:kern w:val="36"/>
          <w:sz w:val="24"/>
          <w:szCs w:val="24"/>
          <w:lang w:val="en-US" w:eastAsia="ru-RU"/>
        </w:rPr>
        <w:t>DRAFT ACCREDITATION DECISION OF THE EXPERT PANEL</w:t>
      </w:r>
      <w:r w:rsidR="00F53689">
        <w:rPr>
          <w:rFonts w:ascii="Times New Roman" w:eastAsia="Times New Roman" w:hAnsi="Times New Roman" w:cs="Times New Roman"/>
          <w:b/>
          <w:bCs/>
          <w:kern w:val="36"/>
          <w:sz w:val="24"/>
          <w:szCs w:val="24"/>
          <w:lang w:val="en-US" w:eastAsia="ru-RU"/>
        </w:rPr>
        <w:t>:</w:t>
      </w:r>
    </w:p>
    <w:p w:rsidR="00F53689" w:rsidRPr="00131E6E" w:rsidRDefault="00F53689" w:rsidP="00131E6E">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val="en-US" w:eastAsia="ru-RU"/>
        </w:rPr>
      </w:pPr>
    </w:p>
    <w:p w:rsidR="00131E6E" w:rsidRPr="00131E6E" w:rsidRDefault="00131E6E" w:rsidP="00131E6E">
      <w:pPr>
        <w:numPr>
          <w:ilvl w:val="0"/>
          <w:numId w:val="1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To accredit the Educational Institution </w:t>
      </w:r>
      <w:r w:rsidRPr="00131E6E">
        <w:rPr>
          <w:rFonts w:ascii="Times New Roman" w:eastAsia="Times New Roman" w:hAnsi="Times New Roman" w:cs="Times New Roman"/>
          <w:b/>
          <w:bCs/>
          <w:sz w:val="24"/>
          <w:szCs w:val="24"/>
          <w:lang w:val="en-US" w:eastAsia="ru-RU"/>
        </w:rPr>
        <w:t>"Asian International University"</w:t>
      </w:r>
      <w:r w:rsidRPr="00131E6E">
        <w:rPr>
          <w:rFonts w:ascii="Times New Roman" w:eastAsia="Times New Roman" w:hAnsi="Times New Roman" w:cs="Times New Roman"/>
          <w:sz w:val="24"/>
          <w:szCs w:val="24"/>
          <w:lang w:val="en-US" w:eastAsia="ru-RU"/>
        </w:rPr>
        <w:t xml:space="preserve"> as a higher education institution that complies with the standards and criteria of international institutional accreditation for a period of </w:t>
      </w:r>
      <w:r w:rsidRPr="00131E6E">
        <w:rPr>
          <w:rFonts w:ascii="Times New Roman" w:eastAsia="Times New Roman" w:hAnsi="Times New Roman" w:cs="Times New Roman"/>
          <w:b/>
          <w:bCs/>
          <w:sz w:val="24"/>
          <w:szCs w:val="24"/>
          <w:u w:val="single"/>
          <w:lang w:val="en-US" w:eastAsia="ru-RU"/>
        </w:rPr>
        <w:t>five (5) years</w:t>
      </w:r>
      <w:r w:rsidRPr="00131E6E">
        <w:rPr>
          <w:rFonts w:ascii="Times New Roman" w:eastAsia="Times New Roman" w:hAnsi="Times New Roman" w:cs="Times New Roman"/>
          <w:sz w:val="24"/>
          <w:szCs w:val="24"/>
          <w:lang w:val="en-US" w:eastAsia="ru-RU"/>
        </w:rPr>
        <w:t>.</w:t>
      </w:r>
    </w:p>
    <w:p w:rsidR="00131E6E" w:rsidRPr="00131E6E" w:rsidRDefault="00131E6E" w:rsidP="00131E6E">
      <w:pPr>
        <w:numPr>
          <w:ilvl w:val="0"/>
          <w:numId w:val="1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To accredit the educational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w:t>
      </w:r>
    </w:p>
    <w:p w:rsidR="00131E6E" w:rsidRPr="00131E6E" w:rsidRDefault="00131E6E" w:rsidP="00131E6E">
      <w:pPr>
        <w:numPr>
          <w:ilvl w:val="0"/>
          <w:numId w:val="19"/>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560001 </w:t>
      </w:r>
      <w:proofErr w:type="spellStart"/>
      <w:r w:rsidRPr="00131E6E">
        <w:rPr>
          <w:rFonts w:ascii="Times New Roman" w:eastAsia="Times New Roman" w:hAnsi="Times New Roman" w:cs="Times New Roman"/>
          <w:sz w:val="24"/>
          <w:szCs w:val="24"/>
          <w:lang w:eastAsia="ru-RU"/>
        </w:rPr>
        <w:t>General</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Medicine</w:t>
      </w:r>
      <w:proofErr w:type="spellEnd"/>
      <w:r w:rsidRPr="00131E6E">
        <w:rPr>
          <w:rFonts w:ascii="Times New Roman" w:eastAsia="Times New Roman" w:hAnsi="Times New Roman" w:cs="Times New Roman"/>
          <w:sz w:val="24"/>
          <w:szCs w:val="24"/>
          <w:lang w:eastAsia="ru-RU"/>
        </w:rPr>
        <w:t xml:space="preserve"> – 5 </w:t>
      </w:r>
      <w:proofErr w:type="spellStart"/>
      <w:r w:rsidRPr="00131E6E">
        <w:rPr>
          <w:rFonts w:ascii="Times New Roman" w:eastAsia="Times New Roman" w:hAnsi="Times New Roman" w:cs="Times New Roman"/>
          <w:sz w:val="24"/>
          <w:szCs w:val="24"/>
          <w:lang w:eastAsia="ru-RU"/>
        </w:rPr>
        <w:t>years</w:t>
      </w:r>
      <w:proofErr w:type="spellEnd"/>
      <w:r w:rsidRPr="00131E6E">
        <w:rPr>
          <w:rFonts w:ascii="Times New Roman" w:eastAsia="Times New Roman" w:hAnsi="Times New Roman" w:cs="Times New Roman"/>
          <w:sz w:val="24"/>
          <w:szCs w:val="24"/>
          <w:lang w:eastAsia="ru-RU"/>
        </w:rPr>
        <w:t>;</w:t>
      </w:r>
    </w:p>
    <w:p w:rsidR="00131E6E" w:rsidRPr="00131E6E" w:rsidRDefault="00131E6E" w:rsidP="00131E6E">
      <w:pPr>
        <w:numPr>
          <w:ilvl w:val="0"/>
          <w:numId w:val="19"/>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560001 </w:t>
      </w:r>
      <w:proofErr w:type="spellStart"/>
      <w:r w:rsidRPr="00131E6E">
        <w:rPr>
          <w:rFonts w:ascii="Times New Roman" w:eastAsia="Times New Roman" w:hAnsi="Times New Roman" w:cs="Times New Roman"/>
          <w:sz w:val="24"/>
          <w:szCs w:val="24"/>
          <w:lang w:eastAsia="ru-RU"/>
        </w:rPr>
        <w:t>General</w:t>
      </w:r>
      <w:proofErr w:type="spellEnd"/>
      <w:r w:rsidRPr="00131E6E">
        <w:rPr>
          <w:rFonts w:ascii="Times New Roman" w:eastAsia="Times New Roman" w:hAnsi="Times New Roman" w:cs="Times New Roman"/>
          <w:sz w:val="24"/>
          <w:szCs w:val="24"/>
          <w:lang w:eastAsia="ru-RU"/>
        </w:rPr>
        <w:t xml:space="preserve"> </w:t>
      </w:r>
      <w:proofErr w:type="spellStart"/>
      <w:r w:rsidRPr="00131E6E">
        <w:rPr>
          <w:rFonts w:ascii="Times New Roman" w:eastAsia="Times New Roman" w:hAnsi="Times New Roman" w:cs="Times New Roman"/>
          <w:sz w:val="24"/>
          <w:szCs w:val="24"/>
          <w:lang w:eastAsia="ru-RU"/>
        </w:rPr>
        <w:t>Medicine</w:t>
      </w:r>
      <w:proofErr w:type="spellEnd"/>
      <w:r w:rsidRPr="00131E6E">
        <w:rPr>
          <w:rFonts w:ascii="Times New Roman" w:eastAsia="Times New Roman" w:hAnsi="Times New Roman" w:cs="Times New Roman"/>
          <w:sz w:val="24"/>
          <w:szCs w:val="24"/>
          <w:lang w:eastAsia="ru-RU"/>
        </w:rPr>
        <w:t xml:space="preserve"> – 6 </w:t>
      </w:r>
      <w:proofErr w:type="spellStart"/>
      <w:r w:rsidRPr="00131E6E">
        <w:rPr>
          <w:rFonts w:ascii="Times New Roman" w:eastAsia="Times New Roman" w:hAnsi="Times New Roman" w:cs="Times New Roman"/>
          <w:sz w:val="24"/>
          <w:szCs w:val="24"/>
          <w:lang w:eastAsia="ru-RU"/>
        </w:rPr>
        <w:t>years</w:t>
      </w:r>
      <w:proofErr w:type="spellEnd"/>
      <w:r w:rsidRPr="00131E6E">
        <w:rPr>
          <w:rFonts w:ascii="Times New Roman" w:eastAsia="Times New Roman" w:hAnsi="Times New Roman" w:cs="Times New Roman"/>
          <w:sz w:val="24"/>
          <w:szCs w:val="24"/>
          <w:lang w:eastAsia="ru-RU"/>
        </w:rPr>
        <w:t>;</w:t>
      </w:r>
    </w:p>
    <w:p w:rsidR="00131E6E" w:rsidRPr="00131E6E" w:rsidRDefault="00131E6E" w:rsidP="00131E6E">
      <w:pPr>
        <w:numPr>
          <w:ilvl w:val="0"/>
          <w:numId w:val="19"/>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sz w:val="24"/>
          <w:szCs w:val="24"/>
          <w:lang w:eastAsia="ru-RU"/>
        </w:rPr>
        <w:t xml:space="preserve">560004 </w:t>
      </w:r>
      <w:proofErr w:type="spellStart"/>
      <w:r w:rsidRPr="00131E6E">
        <w:rPr>
          <w:rFonts w:ascii="Times New Roman" w:eastAsia="Times New Roman" w:hAnsi="Times New Roman" w:cs="Times New Roman"/>
          <w:sz w:val="24"/>
          <w:szCs w:val="24"/>
          <w:lang w:eastAsia="ru-RU"/>
        </w:rPr>
        <w:t>Dentistry</w:t>
      </w:r>
      <w:proofErr w:type="spellEnd"/>
      <w:r w:rsidRPr="00131E6E">
        <w:rPr>
          <w:rFonts w:ascii="Times New Roman" w:eastAsia="Times New Roman" w:hAnsi="Times New Roman" w:cs="Times New Roman"/>
          <w:sz w:val="24"/>
          <w:szCs w:val="24"/>
          <w:lang w:eastAsia="ru-RU"/>
        </w:rPr>
        <w:t xml:space="preserve"> – 5 </w:t>
      </w:r>
      <w:proofErr w:type="spellStart"/>
      <w:r w:rsidRPr="00131E6E">
        <w:rPr>
          <w:rFonts w:ascii="Times New Roman" w:eastAsia="Times New Roman" w:hAnsi="Times New Roman" w:cs="Times New Roman"/>
          <w:sz w:val="24"/>
          <w:szCs w:val="24"/>
          <w:lang w:eastAsia="ru-RU"/>
        </w:rPr>
        <w:t>years</w:t>
      </w:r>
      <w:proofErr w:type="spellEnd"/>
      <w:r w:rsidRPr="00131E6E">
        <w:rPr>
          <w:rFonts w:ascii="Times New Roman" w:eastAsia="Times New Roman" w:hAnsi="Times New Roman" w:cs="Times New Roman"/>
          <w:sz w:val="24"/>
          <w:szCs w:val="24"/>
          <w:lang w:eastAsia="ru-RU"/>
        </w:rPr>
        <w:t>;</w:t>
      </w:r>
    </w:p>
    <w:p w:rsidR="00131E6E" w:rsidRPr="00131E6E" w:rsidRDefault="00131E6E" w:rsidP="00131E6E">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131E6E">
        <w:rPr>
          <w:rFonts w:ascii="Times New Roman" w:eastAsia="Times New Roman" w:hAnsi="Times New Roman" w:cs="Times New Roman"/>
          <w:sz w:val="24"/>
          <w:szCs w:val="24"/>
          <w:lang w:val="en-US" w:eastAsia="ru-RU"/>
        </w:rPr>
        <w:t xml:space="preserve">of the Educational Institution </w:t>
      </w:r>
      <w:r w:rsidRPr="00131E6E">
        <w:rPr>
          <w:rFonts w:ascii="Times New Roman" w:eastAsia="Times New Roman" w:hAnsi="Times New Roman" w:cs="Times New Roman"/>
          <w:b/>
          <w:bCs/>
          <w:sz w:val="24"/>
          <w:szCs w:val="24"/>
          <w:lang w:val="en-US" w:eastAsia="ru-RU"/>
        </w:rPr>
        <w:t>"Asian International University"</w:t>
      </w:r>
      <w:r w:rsidRPr="00131E6E">
        <w:rPr>
          <w:rFonts w:ascii="Times New Roman" w:eastAsia="Times New Roman" w:hAnsi="Times New Roman" w:cs="Times New Roman"/>
          <w:sz w:val="24"/>
          <w:szCs w:val="24"/>
          <w:lang w:val="en-US" w:eastAsia="ru-RU"/>
        </w:rPr>
        <w:t xml:space="preserve"> as higher professional education </w:t>
      </w:r>
      <w:proofErr w:type="spellStart"/>
      <w:r w:rsidRPr="00131E6E">
        <w:rPr>
          <w:rFonts w:ascii="Times New Roman" w:eastAsia="Times New Roman" w:hAnsi="Times New Roman" w:cs="Times New Roman"/>
          <w:sz w:val="24"/>
          <w:szCs w:val="24"/>
          <w:lang w:val="en-US" w:eastAsia="ru-RU"/>
        </w:rPr>
        <w:t>programmes</w:t>
      </w:r>
      <w:proofErr w:type="spellEnd"/>
      <w:r w:rsidRPr="00131E6E">
        <w:rPr>
          <w:rFonts w:ascii="Times New Roman" w:eastAsia="Times New Roman" w:hAnsi="Times New Roman" w:cs="Times New Roman"/>
          <w:sz w:val="24"/>
          <w:szCs w:val="24"/>
          <w:lang w:val="en-US" w:eastAsia="ru-RU"/>
        </w:rPr>
        <w:t xml:space="preserve"> that comply with the standards and criteria of international </w:t>
      </w:r>
      <w:proofErr w:type="spellStart"/>
      <w:r w:rsidRPr="00131E6E">
        <w:rPr>
          <w:rFonts w:ascii="Times New Roman" w:eastAsia="Times New Roman" w:hAnsi="Times New Roman" w:cs="Times New Roman"/>
          <w:sz w:val="24"/>
          <w:szCs w:val="24"/>
          <w:lang w:val="en-US" w:eastAsia="ru-RU"/>
        </w:rPr>
        <w:t>programme</w:t>
      </w:r>
      <w:proofErr w:type="spellEnd"/>
      <w:r w:rsidRPr="00131E6E">
        <w:rPr>
          <w:rFonts w:ascii="Times New Roman" w:eastAsia="Times New Roman" w:hAnsi="Times New Roman" w:cs="Times New Roman"/>
          <w:sz w:val="24"/>
          <w:szCs w:val="24"/>
          <w:lang w:val="en-US" w:eastAsia="ru-RU"/>
        </w:rPr>
        <w:t xml:space="preserve"> accreditation for a period of </w:t>
      </w:r>
      <w:r w:rsidRPr="00131E6E">
        <w:rPr>
          <w:rFonts w:ascii="Times New Roman" w:eastAsia="Times New Roman" w:hAnsi="Times New Roman" w:cs="Times New Roman"/>
          <w:b/>
          <w:bCs/>
          <w:sz w:val="24"/>
          <w:szCs w:val="24"/>
          <w:u w:val="single"/>
          <w:lang w:val="en-US" w:eastAsia="ru-RU"/>
        </w:rPr>
        <w:t>five (5) years</w:t>
      </w:r>
      <w:r w:rsidRPr="00131E6E">
        <w:rPr>
          <w:rFonts w:ascii="Times New Roman" w:eastAsia="Times New Roman" w:hAnsi="Times New Roman" w:cs="Times New Roman"/>
          <w:sz w:val="24"/>
          <w:szCs w:val="24"/>
          <w:lang w:val="en-US" w:eastAsia="ru-RU"/>
        </w:rPr>
        <w:t>.</w:t>
      </w:r>
    </w:p>
    <w:p w:rsidR="00F53689" w:rsidRPr="008F407A" w:rsidRDefault="00F53689" w:rsidP="00131E6E">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131E6E" w:rsidRPr="00131E6E" w:rsidRDefault="00131E6E" w:rsidP="00131E6E">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31E6E">
        <w:rPr>
          <w:rFonts w:ascii="Times New Roman" w:eastAsia="Times New Roman" w:hAnsi="Times New Roman" w:cs="Times New Roman"/>
          <w:b/>
          <w:bCs/>
          <w:sz w:val="24"/>
          <w:szCs w:val="24"/>
          <w:lang w:eastAsia="ru-RU"/>
        </w:rPr>
        <w:t xml:space="preserve">21–23 </w:t>
      </w:r>
      <w:proofErr w:type="spellStart"/>
      <w:r w:rsidRPr="00131E6E">
        <w:rPr>
          <w:rFonts w:ascii="Times New Roman" w:eastAsia="Times New Roman" w:hAnsi="Times New Roman" w:cs="Times New Roman"/>
          <w:b/>
          <w:bCs/>
          <w:sz w:val="24"/>
          <w:szCs w:val="24"/>
          <w:lang w:eastAsia="ru-RU"/>
        </w:rPr>
        <w:t>April</w:t>
      </w:r>
      <w:proofErr w:type="spellEnd"/>
      <w:r w:rsidRPr="00131E6E">
        <w:rPr>
          <w:rFonts w:ascii="Times New Roman" w:eastAsia="Times New Roman" w:hAnsi="Times New Roman" w:cs="Times New Roman"/>
          <w:b/>
          <w:bCs/>
          <w:sz w:val="24"/>
          <w:szCs w:val="24"/>
          <w:lang w:eastAsia="ru-RU"/>
        </w:rPr>
        <w:t xml:space="preserve"> 2026</w:t>
      </w:r>
    </w:p>
    <w:p w:rsidR="009D0809" w:rsidRPr="00131E6E" w:rsidRDefault="009D0809" w:rsidP="00131E6E">
      <w:pPr>
        <w:spacing w:line="240" w:lineRule="auto"/>
        <w:contextualSpacing/>
        <w:rPr>
          <w:rFonts w:ascii="Times New Roman" w:hAnsi="Times New Roman" w:cs="Times New Roman"/>
          <w:sz w:val="24"/>
          <w:szCs w:val="24"/>
        </w:rPr>
      </w:pPr>
    </w:p>
    <w:sectPr w:rsidR="009D0809" w:rsidRPr="00131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1CB6"/>
    <w:multiLevelType w:val="multilevel"/>
    <w:tmpl w:val="6CD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F5FB6"/>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726D4"/>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56A07"/>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4B0D01"/>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06872"/>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F5880"/>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B944B2"/>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CC410C"/>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15A55"/>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571A48"/>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C07D68"/>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E6596"/>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C1083D"/>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A36CC9"/>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1B53B6"/>
    <w:multiLevelType w:val="multilevel"/>
    <w:tmpl w:val="553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572B95"/>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D83444"/>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3A78D9"/>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5"/>
  </w:num>
  <w:num w:numId="4">
    <w:abstractNumId w:val="10"/>
  </w:num>
  <w:num w:numId="5">
    <w:abstractNumId w:val="16"/>
  </w:num>
  <w:num w:numId="6">
    <w:abstractNumId w:val="12"/>
  </w:num>
  <w:num w:numId="7">
    <w:abstractNumId w:val="17"/>
  </w:num>
  <w:num w:numId="8">
    <w:abstractNumId w:val="6"/>
  </w:num>
  <w:num w:numId="9">
    <w:abstractNumId w:val="14"/>
  </w:num>
  <w:num w:numId="10">
    <w:abstractNumId w:val="3"/>
  </w:num>
  <w:num w:numId="11">
    <w:abstractNumId w:val="8"/>
  </w:num>
  <w:num w:numId="12">
    <w:abstractNumId w:val="18"/>
  </w:num>
  <w:num w:numId="13">
    <w:abstractNumId w:val="2"/>
  </w:num>
  <w:num w:numId="14">
    <w:abstractNumId w:val="7"/>
  </w:num>
  <w:num w:numId="15">
    <w:abstractNumId w:val="1"/>
  </w:num>
  <w:num w:numId="16">
    <w:abstractNumId w:val="11"/>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6E"/>
    <w:rsid w:val="00131E6E"/>
    <w:rsid w:val="00151DDF"/>
    <w:rsid w:val="007F635E"/>
    <w:rsid w:val="008F407A"/>
    <w:rsid w:val="009D0809"/>
    <w:rsid w:val="00F5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8224A-696E-4290-86E0-4735DF2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1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1E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1E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E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1E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1E6E"/>
    <w:rPr>
      <w:rFonts w:ascii="Times New Roman" w:eastAsia="Times New Roman" w:hAnsi="Times New Roman" w:cs="Times New Roman"/>
      <w:b/>
      <w:bCs/>
      <w:sz w:val="27"/>
      <w:szCs w:val="27"/>
      <w:lang w:eastAsia="ru-RU"/>
    </w:rPr>
  </w:style>
  <w:style w:type="paragraph" w:customStyle="1" w:styleId="isselectedend">
    <w:name w:val="isselectedend"/>
    <w:basedOn w:val="a"/>
    <w:rsid w:val="001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31E6E"/>
    <w:rPr>
      <w:b/>
      <w:bCs/>
    </w:rPr>
  </w:style>
  <w:style w:type="character" w:styleId="a4">
    <w:name w:val="Emphasis"/>
    <w:basedOn w:val="a0"/>
    <w:uiPriority w:val="20"/>
    <w:qFormat/>
    <w:rsid w:val="00131E6E"/>
    <w:rPr>
      <w:i/>
      <w:iCs/>
    </w:rPr>
  </w:style>
  <w:style w:type="paragraph" w:styleId="a5">
    <w:name w:val="Normal (Web)"/>
    <w:basedOn w:val="a"/>
    <w:uiPriority w:val="99"/>
    <w:semiHidden/>
    <w:unhideWhenUsed/>
    <w:rsid w:val="00131E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15084">
      <w:bodyDiv w:val="1"/>
      <w:marLeft w:val="0"/>
      <w:marRight w:val="0"/>
      <w:marTop w:val="0"/>
      <w:marBottom w:val="0"/>
      <w:divBdr>
        <w:top w:val="none" w:sz="0" w:space="0" w:color="auto"/>
        <w:left w:val="none" w:sz="0" w:space="0" w:color="auto"/>
        <w:bottom w:val="none" w:sz="0" w:space="0" w:color="auto"/>
        <w:right w:val="none" w:sz="0" w:space="0" w:color="auto"/>
      </w:divBdr>
      <w:divsChild>
        <w:div w:id="1506822505">
          <w:marLeft w:val="0"/>
          <w:marRight w:val="0"/>
          <w:marTop w:val="0"/>
          <w:marBottom w:val="0"/>
          <w:divBdr>
            <w:top w:val="none" w:sz="0" w:space="0" w:color="auto"/>
            <w:left w:val="none" w:sz="0" w:space="0" w:color="auto"/>
            <w:bottom w:val="none" w:sz="0" w:space="0" w:color="auto"/>
            <w:right w:val="none" w:sz="0" w:space="0" w:color="auto"/>
          </w:divBdr>
        </w:div>
        <w:div w:id="542980606">
          <w:marLeft w:val="0"/>
          <w:marRight w:val="0"/>
          <w:marTop w:val="0"/>
          <w:marBottom w:val="0"/>
          <w:divBdr>
            <w:top w:val="none" w:sz="0" w:space="0" w:color="auto"/>
            <w:left w:val="none" w:sz="0" w:space="0" w:color="auto"/>
            <w:bottom w:val="none" w:sz="0" w:space="0" w:color="auto"/>
            <w:right w:val="none" w:sz="0" w:space="0" w:color="auto"/>
          </w:divBdr>
        </w:div>
        <w:div w:id="690029831">
          <w:marLeft w:val="0"/>
          <w:marRight w:val="0"/>
          <w:marTop w:val="0"/>
          <w:marBottom w:val="0"/>
          <w:divBdr>
            <w:top w:val="none" w:sz="0" w:space="0" w:color="auto"/>
            <w:left w:val="none" w:sz="0" w:space="0" w:color="auto"/>
            <w:bottom w:val="none" w:sz="0" w:space="0" w:color="auto"/>
            <w:right w:val="none" w:sz="0" w:space="0" w:color="auto"/>
          </w:divBdr>
        </w:div>
        <w:div w:id="1876118516">
          <w:marLeft w:val="0"/>
          <w:marRight w:val="0"/>
          <w:marTop w:val="0"/>
          <w:marBottom w:val="0"/>
          <w:divBdr>
            <w:top w:val="none" w:sz="0" w:space="0" w:color="auto"/>
            <w:left w:val="none" w:sz="0" w:space="0" w:color="auto"/>
            <w:bottom w:val="none" w:sz="0" w:space="0" w:color="auto"/>
            <w:right w:val="none" w:sz="0" w:space="0" w:color="auto"/>
          </w:divBdr>
        </w:div>
        <w:div w:id="1710569515">
          <w:marLeft w:val="0"/>
          <w:marRight w:val="0"/>
          <w:marTop w:val="0"/>
          <w:marBottom w:val="0"/>
          <w:divBdr>
            <w:top w:val="none" w:sz="0" w:space="0" w:color="auto"/>
            <w:left w:val="none" w:sz="0" w:space="0" w:color="auto"/>
            <w:bottom w:val="none" w:sz="0" w:space="0" w:color="auto"/>
            <w:right w:val="none" w:sz="0" w:space="0" w:color="auto"/>
          </w:divBdr>
        </w:div>
        <w:div w:id="765225578">
          <w:marLeft w:val="0"/>
          <w:marRight w:val="0"/>
          <w:marTop w:val="0"/>
          <w:marBottom w:val="0"/>
          <w:divBdr>
            <w:top w:val="none" w:sz="0" w:space="0" w:color="auto"/>
            <w:left w:val="none" w:sz="0" w:space="0" w:color="auto"/>
            <w:bottom w:val="none" w:sz="0" w:space="0" w:color="auto"/>
            <w:right w:val="none" w:sz="0" w:space="0" w:color="auto"/>
          </w:divBdr>
        </w:div>
        <w:div w:id="1651791395">
          <w:marLeft w:val="0"/>
          <w:marRight w:val="0"/>
          <w:marTop w:val="0"/>
          <w:marBottom w:val="0"/>
          <w:divBdr>
            <w:top w:val="none" w:sz="0" w:space="0" w:color="auto"/>
            <w:left w:val="none" w:sz="0" w:space="0" w:color="auto"/>
            <w:bottom w:val="none" w:sz="0" w:space="0" w:color="auto"/>
            <w:right w:val="none" w:sz="0" w:space="0" w:color="auto"/>
          </w:divBdr>
        </w:div>
        <w:div w:id="493225073">
          <w:marLeft w:val="0"/>
          <w:marRight w:val="0"/>
          <w:marTop w:val="0"/>
          <w:marBottom w:val="0"/>
          <w:divBdr>
            <w:top w:val="none" w:sz="0" w:space="0" w:color="auto"/>
            <w:left w:val="none" w:sz="0" w:space="0" w:color="auto"/>
            <w:bottom w:val="none" w:sz="0" w:space="0" w:color="auto"/>
            <w:right w:val="none" w:sz="0" w:space="0" w:color="auto"/>
          </w:divBdr>
        </w:div>
        <w:div w:id="1030689019">
          <w:marLeft w:val="0"/>
          <w:marRight w:val="0"/>
          <w:marTop w:val="0"/>
          <w:marBottom w:val="0"/>
          <w:divBdr>
            <w:top w:val="none" w:sz="0" w:space="0" w:color="auto"/>
            <w:left w:val="none" w:sz="0" w:space="0" w:color="auto"/>
            <w:bottom w:val="none" w:sz="0" w:space="0" w:color="auto"/>
            <w:right w:val="none" w:sz="0" w:space="0" w:color="auto"/>
          </w:divBdr>
        </w:div>
        <w:div w:id="78704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90D9-0FD4-42D8-8AB0-C8C39069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Kubanych Ramatov</dc:creator>
  <cp:keywords/>
  <dc:description/>
  <cp:lastModifiedBy>MSM</cp:lastModifiedBy>
  <cp:revision>2</cp:revision>
  <dcterms:created xsi:type="dcterms:W3CDTF">2026-06-09T08:06:00Z</dcterms:created>
  <dcterms:modified xsi:type="dcterms:W3CDTF">2026-06-09T08:57:00Z</dcterms:modified>
</cp:coreProperties>
</file>