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ACCREDITATION AGENCY FOR EDUCATIONAL PROGRAMMES AND ORGANIZATIONS (AAEPO)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PRELIMINARY RESULTS OF THE INTERNATIONAL INSTITUTIONAL AND PROGRAMME ACCREDITATION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 the Educational Institution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"SALYMBEKOV UNIVERSITY"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Educational </w:t>
      </w: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Programmes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560001 General Medicine – 5 Years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560001 General Medicine – 6 Years</w:t>
      </w: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STANDARD 1. EDUCATIONAL QUALITY ASSURANCE POLICY</w:t>
      </w: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Strengths: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University is included in the list of medical schools recognized by the World Directory of Medical Education (WHO) and ECFMG.</w:t>
      </w:r>
    </w:p>
    <w:p w:rsidR="008D48CF" w:rsidRPr="008D48CF" w:rsidRDefault="008D48CF" w:rsidP="008D48CF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Memoranda on mutually beneficial cooperation have been signed with universities and clinics in the Republic of Korea, </w:t>
      </w:r>
      <w:proofErr w:type="spellStart"/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Türkiye</w:t>
      </w:r>
      <w:proofErr w:type="spellEnd"/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Uzbekistan, Ukraine, India, Malaysia, and Georgia.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Weaknesses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ISO 9001 Quality Management System is still at the implementation stage.</w:t>
      </w:r>
    </w:p>
    <w:p w:rsidR="008D48CF" w:rsidRPr="008D48CF" w:rsidRDefault="008D48CF" w:rsidP="008D48CF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University does not participate in international university rankings.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Recommendations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Complete the development and implementation of the educational quality management system in accordance with ISO 9001 requirements and obtain certification within two years.</w:t>
      </w:r>
    </w:p>
    <w:p w:rsidR="008D48CF" w:rsidRPr="008D48CF" w:rsidRDefault="008D48CF" w:rsidP="008D48CF">
      <w:pPr>
        <w:widowControl w:val="0"/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Participate in at least one international university ranking within three years.</w:t>
      </w: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Standard 1 is fulfilled with remarks.</w:t>
      </w:r>
    </w:p>
    <w:p w:rsidR="009D0809" w:rsidRPr="008D48CF" w:rsidRDefault="009D0809" w:rsidP="008D48CF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STANDARD 2. EDUCATIONAL PROGRAMME</w:t>
      </w: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Weaknesses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intended learning outcomes are not published on the University website in Kyrgyz and English languages; they are formulated in terms of the University's achievements rather than graduate competencies and do not fully comply with international requirements.</w:t>
      </w:r>
    </w:p>
    <w:p w:rsidR="008D48CF" w:rsidRPr="008D48CF" w:rsidRDefault="008D48CF" w:rsidP="008D48CF">
      <w:pPr>
        <w:widowControl w:val="0"/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Certain course syllabi and assessment tools require updating and clearer alignment with the intended learning outcomes.</w:t>
      </w:r>
    </w:p>
    <w:p w:rsidR="008D48CF" w:rsidRPr="008D48CF" w:rsidRDefault="008D48CF" w:rsidP="008D48CF">
      <w:pPr>
        <w:widowControl w:val="0"/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Several sections contain references to regulatory documents requiring revision and updating (including Order No. 496 dated August 23, 2011).</w:t>
      </w:r>
    </w:p>
    <w:p w:rsidR="008D48CF" w:rsidRPr="008D48CF" w:rsidRDefault="008D48CF" w:rsidP="008D48CF">
      <w:pPr>
        <w:widowControl w:val="0"/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Mechanisms for the regular review and systematic updating of the educational </w:t>
      </w:r>
      <w:proofErr w:type="spellStart"/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programme</w:t>
      </w:r>
      <w:proofErr w:type="spellEnd"/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based on </w:t>
      </w:r>
      <w:proofErr w:type="spellStart"/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labour</w:t>
      </w:r>
      <w:proofErr w:type="spellEnd"/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market analysis and employer feedback are insufficiently systematized.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Recommendations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By September 1, 2026, formulate and publish the intended learning outcomes on the University website in Kyrgyz, Russian, and English in accordance with international requirements.</w:t>
      </w:r>
    </w:p>
    <w:p w:rsidR="008D48CF" w:rsidRPr="008D48CF" w:rsidRDefault="008D48CF" w:rsidP="008D48CF">
      <w:pPr>
        <w:widowControl w:val="0"/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September 1, 2026, revise course syllabi and assessment tools with the participation of social partners in accordance with </w:t>
      </w:r>
      <w:proofErr w:type="spellStart"/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labour</w:t>
      </w:r>
      <w:proofErr w:type="spellEnd"/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market requirements and intended learning outcomes.</w:t>
      </w:r>
    </w:p>
    <w:p w:rsidR="008D48CF" w:rsidRPr="008D48CF" w:rsidRDefault="008D48CF" w:rsidP="008D48CF">
      <w:pPr>
        <w:widowControl w:val="0"/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May 1, 2026, update regulatory documents in accordance with amendments to the legal and regulatory framework.</w:t>
      </w:r>
    </w:p>
    <w:p w:rsidR="008D48CF" w:rsidRPr="008D48CF" w:rsidRDefault="008D48CF" w:rsidP="008D48CF">
      <w:pPr>
        <w:widowControl w:val="0"/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September 1, 2026, develop an action plan to strengthen and formalize procedures for the systematic updating of educational </w:t>
      </w:r>
      <w:proofErr w:type="spellStart"/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programmes</w:t>
      </w:r>
      <w:proofErr w:type="spellEnd"/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based on </w:t>
      </w:r>
      <w:proofErr w:type="spellStart"/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labour</w:t>
      </w:r>
      <w:proofErr w:type="spellEnd"/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market analysis and employer feedback.</w:t>
      </w: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Standard 2 is fulfilled with remarks.</w:t>
      </w:r>
    </w:p>
    <w:p w:rsidR="008D48CF" w:rsidRPr="00B845F4" w:rsidRDefault="008D48CF" w:rsidP="008D48C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STANDARD </w:t>
      </w:r>
      <w:proofErr w:type="gram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</w:t>
      </w:r>
      <w:proofErr w:type="gramEnd"/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 STUDENT-CENTRED LEARNING AND ASSESSMENT OF STUDENT ACHIEVEMENTS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Strengths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strong practice-oriented educational process supported by the University's well-equipped clinical facilities.</w:t>
      </w:r>
    </w:p>
    <w:p w:rsidR="008D48CF" w:rsidRPr="008D48CF" w:rsidRDefault="008D48CF" w:rsidP="008D48CF">
      <w:pPr>
        <w:widowControl w:val="0"/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Relatively high academic mobility of students.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Weaknesses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proficiency in Kyrgyz and Russian languages among international students for effective communication with patients.</w:t>
      </w:r>
    </w:p>
    <w:p w:rsidR="008D48CF" w:rsidRPr="008D48CF" w:rsidRDefault="008D48CF" w:rsidP="008D48CF">
      <w:pPr>
        <w:widowControl w:val="0"/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Absence of extracurricular courses in medical disciplines.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Recommendations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September 1, 2026, organize Kyrgyz and Russian language courses for international students and develop a plan for student participation in inter-university Kyrgyz language activities, with annual review and evaluation of results.</w:t>
      </w:r>
    </w:p>
    <w:p w:rsidR="008D48CF" w:rsidRPr="008D48CF" w:rsidRDefault="008D48CF" w:rsidP="008D48CF">
      <w:pPr>
        <w:widowControl w:val="0"/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September 1, 2026, organize extracurricular courses in medical disciplines with annual review and assessment of outcomes.</w:t>
      </w: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Standard 3 is fulfilled with remarks.</w:t>
      </w:r>
    </w:p>
    <w:p w:rsidR="008D48CF" w:rsidRPr="008D48CF" w:rsidRDefault="008D48CF" w:rsidP="008D48C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STANDARD 4. ADMISSION OF STUDENTS AND RECOGNITION OF LEARNING OUTCOMES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Weaknesses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 admission of international students for the 2025–2026 academic year.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Recommendations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Default="008D48CF" w:rsidP="008D48CF">
      <w:pPr>
        <w:widowControl w:val="0"/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June 1, 2026, develop and implement an action plan to strengthen the recruitment and admission of international students.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Standard 4 is fulfilled with remarks.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STANDARD 5. TEACHING STAFF AND SUPPORT PERSONNEL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Strengths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Flexible teaching schedules allowing faculty members opportunities for self-development and continuing education.</w:t>
      </w:r>
    </w:p>
    <w:p w:rsidR="008D48CF" w:rsidRPr="008D48CF" w:rsidRDefault="008D48CF" w:rsidP="008D48CF">
      <w:pPr>
        <w:widowControl w:val="0"/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Strong academic mobility of faculty members.</w:t>
      </w:r>
    </w:p>
    <w:p w:rsidR="008D48CF" w:rsidRPr="008D48CF" w:rsidRDefault="008D48CF" w:rsidP="008D48CF">
      <w:pPr>
        <w:widowControl w:val="0"/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Active cooperation of faculty members with institutions in the Republic of Korea with full support from the University.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Weaknesses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financial incentives for faculty members.</w:t>
      </w:r>
    </w:p>
    <w:p w:rsidR="008D48CF" w:rsidRPr="008D48CF" w:rsidRDefault="008D48CF" w:rsidP="008D48CF">
      <w:pPr>
        <w:widowControl w:val="0"/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Weak mentoring system and insufficient activities of the Young Teachers School.</w:t>
      </w:r>
    </w:p>
    <w:p w:rsidR="008D48CF" w:rsidRPr="008D48CF" w:rsidRDefault="008D48CF" w:rsidP="008D48CF">
      <w:pPr>
        <w:widowControl w:val="0"/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control over teaching quality and students' knowledge assessment.</w:t>
      </w:r>
    </w:p>
    <w:p w:rsidR="008D48CF" w:rsidRPr="008D48CF" w:rsidRDefault="008D48CF" w:rsidP="008D48CF">
      <w:pPr>
        <w:widowControl w:val="0"/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Limited cooperation with medical universities in Kyrgyzstan.</w:t>
      </w:r>
    </w:p>
    <w:p w:rsidR="008D48CF" w:rsidRPr="008D48CF" w:rsidRDefault="008D48CF" w:rsidP="008D48CF">
      <w:pPr>
        <w:widowControl w:val="0"/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Lack of in-house English language training for faculty members.</w:t>
      </w:r>
    </w:p>
    <w:p w:rsidR="008D48CF" w:rsidRPr="008D48CF" w:rsidRDefault="008D48CF" w:rsidP="008D48CF">
      <w:pPr>
        <w:widowControl w:val="0"/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Absence of a differentiated remuneration system depending on the language of instruction.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Recommendations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September 1, 2026, develop and implement Regulations on Faculty Financial Incentives with annual monitoring of implementation.</w:t>
      </w:r>
    </w:p>
    <w:p w:rsidR="008D48CF" w:rsidRPr="008D48CF" w:rsidRDefault="008D48CF" w:rsidP="008D48CF">
      <w:pPr>
        <w:widowControl w:val="0"/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June 1, 2026, develop an action plan to strengthen mentoring and the Young Teachers School, with annual evaluation of results.</w:t>
      </w:r>
    </w:p>
    <w:p w:rsidR="008D48CF" w:rsidRPr="008D48CF" w:rsidRDefault="008D48CF" w:rsidP="008D48CF">
      <w:pPr>
        <w:widowControl w:val="0"/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September 1, 2026, revise the Examination Regulations to include independent experts in examination procedures to improve quality assurance and student assessment.</w:t>
      </w:r>
    </w:p>
    <w:p w:rsidR="008D48CF" w:rsidRPr="008D48CF" w:rsidRDefault="008D48CF" w:rsidP="008D48CF">
      <w:pPr>
        <w:widowControl w:val="0"/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September 1, 2026, conclude cooperation agreements with medical universities of Kyrgyzstan and annually evaluate their effectiveness with corrective actions where necessary.</w:t>
      </w:r>
    </w:p>
    <w:p w:rsidR="008D48CF" w:rsidRPr="008D48CF" w:rsidRDefault="008D48CF" w:rsidP="008D48CF">
      <w:pPr>
        <w:widowControl w:val="0"/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September 1, 2026, organize English language courses for faculty members with annual evaluation and corrective measures.</w:t>
      </w:r>
    </w:p>
    <w:p w:rsidR="008D48CF" w:rsidRDefault="008D48CF" w:rsidP="008D48CF">
      <w:pPr>
        <w:widowControl w:val="0"/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September 1, 2026, revise the remuneration policy for teaching activities by introducing a differentiated approach based on the language of instruction.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Standard 5 is fulfilled with remarks.</w:t>
      </w:r>
    </w:p>
    <w:p w:rsidR="008D48CF" w:rsidRPr="00B845F4" w:rsidRDefault="008D48CF" w:rsidP="008D48C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STANDARD </w:t>
      </w:r>
      <w:proofErr w:type="gram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6</w:t>
      </w:r>
      <w:proofErr w:type="gramEnd"/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 MATERIAL, TECHNICAL AND INFORMATION RESOURCES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Strengths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University has established and operates the only laboratory in the Kyrgyz Republic capable of providing accurate oncological diagnoses within a short period through immunohistochemical analysis.</w:t>
      </w:r>
    </w:p>
    <w:p w:rsidR="008D48CF" w:rsidRPr="008D48CF" w:rsidRDefault="008D48CF" w:rsidP="008D48CF">
      <w:pPr>
        <w:widowControl w:val="0"/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Availability of highly specialized departments equipped with modern technology, including lithotripsy services for urolithiasis, IVF services, TUR equipment, laparoscopic equipment and others, with discounts provided to pensioners and low-income patients.</w:t>
      </w:r>
    </w:p>
    <w:p w:rsidR="008D48CF" w:rsidRDefault="008D48CF" w:rsidP="008D48CF">
      <w:pPr>
        <w:widowControl w:val="0"/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Physiotherapy facilities are equipped with modern state-of-the-art equipment.</w:t>
      </w:r>
    </w:p>
    <w:p w:rsidR="00B845F4" w:rsidRDefault="00B845F4" w:rsidP="00B845F4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845F4" w:rsidRPr="008D48CF" w:rsidRDefault="00B845F4" w:rsidP="00B845F4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Weaknesses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Absence of a "</w:t>
      </w:r>
      <w:proofErr w:type="spellStart"/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Pirogov</w:t>
      </w:r>
      <w:proofErr w:type="spellEnd"/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Anatomical Table".</w:t>
      </w:r>
    </w:p>
    <w:p w:rsidR="008D48CF" w:rsidRPr="008D48CF" w:rsidRDefault="008D48CF" w:rsidP="008D48CF">
      <w:pPr>
        <w:widowControl w:val="0"/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Russian-language educational literature.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Recommendations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September 1, 2026, acquire and integrate a </w:t>
      </w:r>
      <w:proofErr w:type="spellStart"/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Pirogov</w:t>
      </w:r>
      <w:proofErr w:type="spellEnd"/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Anatomical Table into the educational process.</w:t>
      </w:r>
    </w:p>
    <w:p w:rsidR="008D48CF" w:rsidRDefault="008D48CF" w:rsidP="008D48CF">
      <w:pPr>
        <w:widowControl w:val="0"/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September 1, 2026, develop and implement an action plan to provide the library with the required Russian-language literature.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Standard 6 is fulfilled with remarks.</w:t>
      </w:r>
    </w:p>
    <w:p w:rsidR="008D48CF" w:rsidRPr="00B845F4" w:rsidRDefault="008D48CF" w:rsidP="008D48C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STANDARD </w:t>
      </w:r>
      <w:proofErr w:type="gram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7</w:t>
      </w:r>
      <w:proofErr w:type="gramEnd"/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 SCIENTIFIC, METHODOLOGICAL AND RESEARCH ACTIVITIES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Strengths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Availability of the University's own scientific journal.</w:t>
      </w:r>
    </w:p>
    <w:p w:rsidR="008D48CF" w:rsidRPr="008D48CF" w:rsidRDefault="008D48CF" w:rsidP="008D48CF">
      <w:pPr>
        <w:widowControl w:val="0"/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High publication activity in highly ranked scientific journals.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Weaknesses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Weak organization of student scientific clubs.</w:t>
      </w:r>
    </w:p>
    <w:p w:rsidR="008D48CF" w:rsidRPr="008D48CF" w:rsidRDefault="008D48CF" w:rsidP="008D48CF">
      <w:pPr>
        <w:widowControl w:val="0"/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student participation in research activities.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Recommendations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September 1, 2026, establish student scientific clubs in various medical fields.</w:t>
      </w:r>
    </w:p>
    <w:p w:rsidR="008D48CF" w:rsidRPr="008D48CF" w:rsidRDefault="008D48CF" w:rsidP="008D48CF">
      <w:pPr>
        <w:widowControl w:val="0"/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September 1, 2026, develop and implement an action plan to increase student participation in research activities, with annual evaluation of results.</w:t>
      </w: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Standard 7 is fulfilled with remarks.</w:t>
      </w:r>
    </w:p>
    <w:p w:rsidR="008D48CF" w:rsidRPr="00B845F4" w:rsidRDefault="008D48CF" w:rsidP="008D48C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STANDARD </w:t>
      </w:r>
      <w:proofErr w:type="gram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8</w:t>
      </w:r>
      <w:proofErr w:type="gramEnd"/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 FINANCIAL RESOURCES OF THE EDUCATIONAL ORGANIZATION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Strengths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2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High investment activity: 30% of income is reinvested into infrastructure development (clinics, IT laboratories), which significantly exceeds average market indicators and demonstrates the University's commitment to sustainable development.</w:t>
      </w:r>
    </w:p>
    <w:p w:rsidR="008D48CF" w:rsidRPr="008D48CF" w:rsidRDefault="008D48CF" w:rsidP="008D48CF">
      <w:pPr>
        <w:widowControl w:val="0"/>
        <w:numPr>
          <w:ilvl w:val="0"/>
          <w:numId w:val="2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Strong social responsibility: 50% of students receive benefits or tuition support, which is viewed positively by accreditation bodies and stakeholders.</w:t>
      </w:r>
    </w:p>
    <w:p w:rsidR="008D48CF" w:rsidRPr="00B845F4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Recommendations</w:t>
      </w:r>
      <w:proofErr w:type="spellEnd"/>
      <w:r w:rsidRPr="008D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48CF" w:rsidRPr="008D48CF" w:rsidRDefault="008D48CF" w:rsidP="008D48CF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8CF" w:rsidRPr="008D48CF" w:rsidRDefault="008D48CF" w:rsidP="008D48CF">
      <w:pPr>
        <w:widowControl w:val="0"/>
        <w:numPr>
          <w:ilvl w:val="0"/>
          <w:numId w:val="2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December 31, 2026, identify opportunities to increase staff salaries and introduce a 13th-month salary and holiday bonuses, as well as incentives for highly active employees.</w:t>
      </w:r>
    </w:p>
    <w:p w:rsidR="008D48CF" w:rsidRPr="008D48CF" w:rsidRDefault="008D48CF" w:rsidP="00CA5F26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D4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Standard 8 is fulfilled.</w:t>
      </w:r>
    </w:p>
    <w:p w:rsidR="00CA5F26" w:rsidRDefault="00CA5F26" w:rsidP="008D48CF">
      <w:pPr>
        <w:pStyle w:val="a3"/>
        <w:widowControl w:val="0"/>
        <w:contextualSpacing/>
        <w:rPr>
          <w:lang w:val="en-US"/>
        </w:rPr>
      </w:pPr>
    </w:p>
    <w:p w:rsidR="008D48CF" w:rsidRDefault="008D48CF" w:rsidP="00CA5F26">
      <w:pPr>
        <w:pStyle w:val="a3"/>
        <w:widowControl w:val="0"/>
        <w:contextualSpacing/>
        <w:jc w:val="center"/>
        <w:rPr>
          <w:b/>
          <w:lang w:val="en-US"/>
        </w:rPr>
      </w:pPr>
      <w:r w:rsidRPr="00CA5F26">
        <w:rPr>
          <w:b/>
          <w:lang w:val="en-US"/>
        </w:rPr>
        <w:lastRenderedPageBreak/>
        <w:t>ASSESSMENT OF COMPLIANCE WITH THE STANDARDS</w:t>
      </w:r>
      <w:r w:rsidR="00CA5F26" w:rsidRPr="00CA5F26">
        <w:rPr>
          <w:b/>
          <w:lang w:val="en-US"/>
        </w:rPr>
        <w:t>:</w:t>
      </w:r>
    </w:p>
    <w:p w:rsidR="00B845F4" w:rsidRPr="00CA5F26" w:rsidRDefault="00B845F4" w:rsidP="00CA5F26">
      <w:pPr>
        <w:pStyle w:val="a3"/>
        <w:widowControl w:val="0"/>
        <w:contextualSpacing/>
        <w:jc w:val="center"/>
        <w:rPr>
          <w:b/>
          <w:lang w:val="en-US"/>
        </w:rPr>
      </w:pPr>
      <w:bookmarkStart w:id="0" w:name="_GoBack"/>
      <w:bookmarkEnd w:id="0"/>
    </w:p>
    <w:p w:rsidR="008D48CF" w:rsidRPr="008D48CF" w:rsidRDefault="008D48CF" w:rsidP="008D48CF">
      <w:pPr>
        <w:pStyle w:val="a3"/>
        <w:widowControl w:val="0"/>
        <w:contextualSpacing/>
        <w:rPr>
          <w:lang w:val="en-US"/>
        </w:rPr>
      </w:pPr>
      <w:r w:rsidRPr="008D48CF">
        <w:rPr>
          <w:lang w:val="en-US"/>
        </w:rPr>
        <w:t>Standard 1 – Fulfilled with remarks</w:t>
      </w:r>
    </w:p>
    <w:p w:rsidR="008D48CF" w:rsidRPr="008D48CF" w:rsidRDefault="008D48CF" w:rsidP="008D48CF">
      <w:pPr>
        <w:pStyle w:val="a3"/>
        <w:widowControl w:val="0"/>
        <w:contextualSpacing/>
        <w:rPr>
          <w:lang w:val="en-US"/>
        </w:rPr>
      </w:pPr>
      <w:r w:rsidRPr="008D48CF">
        <w:rPr>
          <w:lang w:val="en-US"/>
        </w:rPr>
        <w:t>Standard 2 – Fulfilled with remarks</w:t>
      </w:r>
    </w:p>
    <w:p w:rsidR="008D48CF" w:rsidRPr="008D48CF" w:rsidRDefault="008D48CF" w:rsidP="008D48CF">
      <w:pPr>
        <w:pStyle w:val="a3"/>
        <w:widowControl w:val="0"/>
        <w:contextualSpacing/>
        <w:rPr>
          <w:lang w:val="en-US"/>
        </w:rPr>
      </w:pPr>
      <w:r w:rsidRPr="008D48CF">
        <w:rPr>
          <w:lang w:val="en-US"/>
        </w:rPr>
        <w:t>Standard 3 – Fulfilled with remarks</w:t>
      </w:r>
    </w:p>
    <w:p w:rsidR="008D48CF" w:rsidRPr="008D48CF" w:rsidRDefault="008D48CF" w:rsidP="008D48CF">
      <w:pPr>
        <w:pStyle w:val="a3"/>
        <w:widowControl w:val="0"/>
        <w:contextualSpacing/>
        <w:rPr>
          <w:lang w:val="en-US"/>
        </w:rPr>
      </w:pPr>
      <w:r w:rsidRPr="008D48CF">
        <w:rPr>
          <w:lang w:val="en-US"/>
        </w:rPr>
        <w:t>Standard 4 – Fulfilled with remarks</w:t>
      </w:r>
    </w:p>
    <w:p w:rsidR="008D48CF" w:rsidRPr="008D48CF" w:rsidRDefault="008D48CF" w:rsidP="008D48CF">
      <w:pPr>
        <w:pStyle w:val="a3"/>
        <w:widowControl w:val="0"/>
        <w:contextualSpacing/>
        <w:rPr>
          <w:lang w:val="en-US"/>
        </w:rPr>
      </w:pPr>
      <w:r w:rsidRPr="008D48CF">
        <w:rPr>
          <w:lang w:val="en-US"/>
        </w:rPr>
        <w:t>Standard 5 – Fulfilled with remarks</w:t>
      </w:r>
    </w:p>
    <w:p w:rsidR="008D48CF" w:rsidRPr="008D48CF" w:rsidRDefault="008D48CF" w:rsidP="008D48CF">
      <w:pPr>
        <w:pStyle w:val="a3"/>
        <w:widowControl w:val="0"/>
        <w:contextualSpacing/>
        <w:rPr>
          <w:lang w:val="en-US"/>
        </w:rPr>
      </w:pPr>
      <w:r w:rsidRPr="008D48CF">
        <w:rPr>
          <w:lang w:val="en-US"/>
        </w:rPr>
        <w:t>Standard 6 – Fulfilled with remarks</w:t>
      </w:r>
    </w:p>
    <w:p w:rsidR="008D48CF" w:rsidRPr="008D48CF" w:rsidRDefault="008D48CF" w:rsidP="008D48CF">
      <w:pPr>
        <w:pStyle w:val="a3"/>
        <w:widowControl w:val="0"/>
        <w:contextualSpacing/>
        <w:rPr>
          <w:lang w:val="en-US"/>
        </w:rPr>
      </w:pPr>
      <w:r w:rsidRPr="008D48CF">
        <w:rPr>
          <w:lang w:val="en-US"/>
        </w:rPr>
        <w:t>Standard 7 – Fulfilled with remarks</w:t>
      </w:r>
    </w:p>
    <w:p w:rsidR="008D48CF" w:rsidRPr="008D48CF" w:rsidRDefault="008D48CF" w:rsidP="008D48CF">
      <w:pPr>
        <w:pStyle w:val="a3"/>
        <w:widowControl w:val="0"/>
        <w:contextualSpacing/>
        <w:rPr>
          <w:lang w:val="en-US"/>
        </w:rPr>
      </w:pPr>
      <w:r w:rsidRPr="008D48CF">
        <w:rPr>
          <w:lang w:val="en-US"/>
        </w:rPr>
        <w:t>Standard 8 – Fulfilled</w:t>
      </w:r>
    </w:p>
    <w:p w:rsidR="00CA5F26" w:rsidRDefault="00CA5F26" w:rsidP="008D48CF">
      <w:pPr>
        <w:pStyle w:val="a3"/>
        <w:widowControl w:val="0"/>
        <w:contextualSpacing/>
        <w:rPr>
          <w:lang w:val="en-US"/>
        </w:rPr>
      </w:pPr>
    </w:p>
    <w:p w:rsidR="008D48CF" w:rsidRDefault="008D48CF" w:rsidP="00CA5F26">
      <w:pPr>
        <w:pStyle w:val="a3"/>
        <w:widowControl w:val="0"/>
        <w:contextualSpacing/>
        <w:jc w:val="center"/>
        <w:rPr>
          <w:b/>
          <w:lang w:val="en-US"/>
        </w:rPr>
      </w:pPr>
      <w:r w:rsidRPr="00CA5F26">
        <w:rPr>
          <w:b/>
          <w:lang w:val="en-US"/>
        </w:rPr>
        <w:t>DRAFT OF THE EXPERT PANEL'S ACCREDITATION DECISION</w:t>
      </w:r>
      <w:r w:rsidR="00CA5F26" w:rsidRPr="00CA5F26">
        <w:rPr>
          <w:b/>
          <w:lang w:val="en-US"/>
        </w:rPr>
        <w:t>:</w:t>
      </w:r>
    </w:p>
    <w:p w:rsidR="00CA5F26" w:rsidRPr="00CA5F26" w:rsidRDefault="00CA5F26" w:rsidP="00CA5F26">
      <w:pPr>
        <w:pStyle w:val="a3"/>
        <w:widowControl w:val="0"/>
        <w:contextualSpacing/>
        <w:jc w:val="center"/>
        <w:rPr>
          <w:b/>
          <w:lang w:val="en-US"/>
        </w:rPr>
      </w:pPr>
    </w:p>
    <w:p w:rsidR="008D48CF" w:rsidRPr="008D48CF" w:rsidRDefault="008D48CF" w:rsidP="008D48CF">
      <w:pPr>
        <w:pStyle w:val="a3"/>
        <w:widowControl w:val="0"/>
        <w:numPr>
          <w:ilvl w:val="0"/>
          <w:numId w:val="22"/>
        </w:numPr>
        <w:contextualSpacing/>
        <w:rPr>
          <w:lang w:val="en-US"/>
        </w:rPr>
      </w:pPr>
      <w:r w:rsidRPr="008D48CF">
        <w:rPr>
          <w:lang w:val="en-US"/>
        </w:rPr>
        <w:t xml:space="preserve">To accredit the Educational Institution “SALYMBEKOV UNIVERSITY” as a higher education institution that complies with the standards and criteria of International Institutional Accreditation for a period </w:t>
      </w:r>
      <w:r w:rsidRPr="00CA5F26">
        <w:rPr>
          <w:u w:val="single"/>
          <w:lang w:val="en-US"/>
        </w:rPr>
        <w:t>of five (5) years</w:t>
      </w:r>
      <w:r w:rsidRPr="008D48CF">
        <w:rPr>
          <w:lang w:val="en-US"/>
        </w:rPr>
        <w:t>.</w:t>
      </w:r>
    </w:p>
    <w:p w:rsidR="008D48CF" w:rsidRPr="008D48CF" w:rsidRDefault="008D48CF" w:rsidP="008D48CF">
      <w:pPr>
        <w:pStyle w:val="a3"/>
        <w:widowControl w:val="0"/>
        <w:numPr>
          <w:ilvl w:val="0"/>
          <w:numId w:val="22"/>
        </w:numPr>
        <w:contextualSpacing/>
        <w:rPr>
          <w:lang w:val="en-US"/>
        </w:rPr>
      </w:pPr>
      <w:r w:rsidRPr="008D48CF">
        <w:rPr>
          <w:lang w:val="en-US"/>
        </w:rPr>
        <w:t xml:space="preserve">To accredit the following educational </w:t>
      </w:r>
      <w:proofErr w:type="spellStart"/>
      <w:r w:rsidRPr="008D48CF">
        <w:rPr>
          <w:lang w:val="en-US"/>
        </w:rPr>
        <w:t>programmes</w:t>
      </w:r>
      <w:proofErr w:type="spellEnd"/>
      <w:r w:rsidRPr="008D48CF">
        <w:rPr>
          <w:lang w:val="en-US"/>
        </w:rPr>
        <w:t xml:space="preserve"> of “SALYMBEKOV UNIVERSITY”:</w:t>
      </w:r>
    </w:p>
    <w:p w:rsidR="008D48CF" w:rsidRPr="008D48CF" w:rsidRDefault="008D48CF" w:rsidP="00CA5F26">
      <w:pPr>
        <w:pStyle w:val="a3"/>
        <w:widowControl w:val="0"/>
        <w:ind w:left="709"/>
        <w:contextualSpacing/>
        <w:rPr>
          <w:lang w:val="en-US"/>
        </w:rPr>
      </w:pPr>
      <w:r w:rsidRPr="008D48CF">
        <w:rPr>
          <w:lang w:val="en-US"/>
        </w:rPr>
        <w:t>• 560001 General Medicine – 5 Years</w:t>
      </w:r>
    </w:p>
    <w:p w:rsidR="008D48CF" w:rsidRPr="008D48CF" w:rsidRDefault="008D48CF" w:rsidP="00CA5F26">
      <w:pPr>
        <w:pStyle w:val="a3"/>
        <w:widowControl w:val="0"/>
        <w:ind w:left="709"/>
        <w:contextualSpacing/>
        <w:rPr>
          <w:lang w:val="en-US"/>
        </w:rPr>
      </w:pPr>
      <w:r w:rsidRPr="008D48CF">
        <w:rPr>
          <w:lang w:val="en-US"/>
        </w:rPr>
        <w:t>• 560001 General Medicine – 6 Years</w:t>
      </w:r>
    </w:p>
    <w:p w:rsidR="008D48CF" w:rsidRPr="008D48CF" w:rsidRDefault="008D48CF" w:rsidP="008D48CF">
      <w:pPr>
        <w:pStyle w:val="a3"/>
        <w:widowControl w:val="0"/>
        <w:contextualSpacing/>
        <w:rPr>
          <w:lang w:val="en-US"/>
        </w:rPr>
      </w:pPr>
      <w:r w:rsidRPr="008D48CF">
        <w:rPr>
          <w:lang w:val="en-US"/>
        </w:rPr>
        <w:t xml:space="preserve">as higher professional education </w:t>
      </w:r>
      <w:proofErr w:type="spellStart"/>
      <w:r w:rsidRPr="008D48CF">
        <w:rPr>
          <w:lang w:val="en-US"/>
        </w:rPr>
        <w:t>programmes</w:t>
      </w:r>
      <w:proofErr w:type="spellEnd"/>
      <w:r w:rsidRPr="008D48CF">
        <w:rPr>
          <w:lang w:val="en-US"/>
        </w:rPr>
        <w:t xml:space="preserve"> that comply with the standards and criteria of International </w:t>
      </w:r>
      <w:proofErr w:type="spellStart"/>
      <w:r w:rsidRPr="008D48CF">
        <w:rPr>
          <w:lang w:val="en-US"/>
        </w:rPr>
        <w:t>Programme</w:t>
      </w:r>
      <w:proofErr w:type="spellEnd"/>
      <w:r w:rsidRPr="008D48CF">
        <w:rPr>
          <w:lang w:val="en-US"/>
        </w:rPr>
        <w:t xml:space="preserve"> Accreditation for a period </w:t>
      </w:r>
      <w:r w:rsidRPr="00CA5F26">
        <w:rPr>
          <w:u w:val="single"/>
          <w:lang w:val="en-US"/>
        </w:rPr>
        <w:t>of five (5) years</w:t>
      </w:r>
      <w:r w:rsidRPr="008D48CF">
        <w:rPr>
          <w:lang w:val="en-US"/>
        </w:rPr>
        <w:t>.</w:t>
      </w:r>
    </w:p>
    <w:p w:rsidR="00CA5F26" w:rsidRPr="00B845F4" w:rsidRDefault="00CA5F26" w:rsidP="008D48CF">
      <w:pPr>
        <w:pStyle w:val="a3"/>
        <w:widowControl w:val="0"/>
        <w:contextualSpacing/>
        <w:rPr>
          <w:lang w:val="en-US"/>
        </w:rPr>
      </w:pPr>
    </w:p>
    <w:p w:rsidR="00CA5F26" w:rsidRPr="00B845F4" w:rsidRDefault="00CA5F26" w:rsidP="008D48CF">
      <w:pPr>
        <w:pStyle w:val="a3"/>
        <w:widowControl w:val="0"/>
        <w:contextualSpacing/>
        <w:rPr>
          <w:lang w:val="en-US"/>
        </w:rPr>
      </w:pPr>
    </w:p>
    <w:p w:rsidR="00CA5F26" w:rsidRPr="00B845F4" w:rsidRDefault="00CA5F26" w:rsidP="008D48CF">
      <w:pPr>
        <w:pStyle w:val="a3"/>
        <w:widowControl w:val="0"/>
        <w:contextualSpacing/>
        <w:rPr>
          <w:lang w:val="en-US"/>
        </w:rPr>
      </w:pPr>
    </w:p>
    <w:p w:rsidR="008D48CF" w:rsidRPr="008D48CF" w:rsidRDefault="008D48CF" w:rsidP="008D48CF">
      <w:pPr>
        <w:pStyle w:val="a3"/>
        <w:widowControl w:val="0"/>
        <w:contextualSpacing/>
      </w:pPr>
      <w:r w:rsidRPr="008D48CF">
        <w:t xml:space="preserve">09–11 </w:t>
      </w:r>
      <w:proofErr w:type="spellStart"/>
      <w:r w:rsidRPr="008D48CF">
        <w:t>February</w:t>
      </w:r>
      <w:proofErr w:type="spellEnd"/>
      <w:r w:rsidRPr="008D48CF">
        <w:t xml:space="preserve"> 2026</w:t>
      </w:r>
      <w:r w:rsidR="00CA5F26">
        <w:t>.</w:t>
      </w:r>
    </w:p>
    <w:p w:rsidR="008D48CF" w:rsidRPr="008D48CF" w:rsidRDefault="008D48CF" w:rsidP="008D48CF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sectPr w:rsidR="008D48CF" w:rsidRPr="008D4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756C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B60CB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01331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95C7A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E0572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47277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A42567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A3587F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241DE5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04AB0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C61A77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A656EE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F13E3F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384A6B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313AE4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CE52B9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323160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9E7DE4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AF08D2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F51799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BF1BF5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254334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3"/>
  </w:num>
  <w:num w:numId="5">
    <w:abstractNumId w:val="9"/>
  </w:num>
  <w:num w:numId="6">
    <w:abstractNumId w:val="0"/>
  </w:num>
  <w:num w:numId="7">
    <w:abstractNumId w:val="19"/>
  </w:num>
  <w:num w:numId="8">
    <w:abstractNumId w:val="16"/>
  </w:num>
  <w:num w:numId="9">
    <w:abstractNumId w:val="15"/>
  </w:num>
  <w:num w:numId="10">
    <w:abstractNumId w:val="11"/>
  </w:num>
  <w:num w:numId="11">
    <w:abstractNumId w:val="10"/>
  </w:num>
  <w:num w:numId="12">
    <w:abstractNumId w:val="2"/>
  </w:num>
  <w:num w:numId="13">
    <w:abstractNumId w:val="17"/>
  </w:num>
  <w:num w:numId="14">
    <w:abstractNumId w:val="14"/>
  </w:num>
  <w:num w:numId="15">
    <w:abstractNumId w:val="21"/>
  </w:num>
  <w:num w:numId="16">
    <w:abstractNumId w:val="18"/>
  </w:num>
  <w:num w:numId="17">
    <w:abstractNumId w:val="1"/>
  </w:num>
  <w:num w:numId="18">
    <w:abstractNumId w:val="3"/>
  </w:num>
  <w:num w:numId="19">
    <w:abstractNumId w:val="20"/>
  </w:num>
  <w:num w:numId="20">
    <w:abstractNumId w:val="7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CF"/>
    <w:rsid w:val="00151DDF"/>
    <w:rsid w:val="007F635E"/>
    <w:rsid w:val="008D48CF"/>
    <w:rsid w:val="009D0809"/>
    <w:rsid w:val="00B845F4"/>
    <w:rsid w:val="00C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A4B97-CE41-4244-9A7A-6C53323D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8D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Kubanych Ramatov</dc:creator>
  <cp:keywords/>
  <dc:description/>
  <cp:lastModifiedBy>MSM</cp:lastModifiedBy>
  <cp:revision>2</cp:revision>
  <dcterms:created xsi:type="dcterms:W3CDTF">2026-06-10T06:14:00Z</dcterms:created>
  <dcterms:modified xsi:type="dcterms:W3CDTF">2026-06-10T09:16:00Z</dcterms:modified>
</cp:coreProperties>
</file>