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0C3" w:rsidRPr="00D560C3" w:rsidRDefault="00D560C3" w:rsidP="00D560C3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0C3">
        <w:rPr>
          <w:rFonts w:ascii="Times New Roman" w:hAnsi="Times New Roman" w:cs="Times New Roman"/>
          <w:b/>
          <w:sz w:val="24"/>
          <w:szCs w:val="24"/>
        </w:rPr>
        <w:t>AGENCY FOR ACCREDITATION OF</w:t>
      </w:r>
    </w:p>
    <w:p w:rsidR="00D560C3" w:rsidRPr="00D560C3" w:rsidRDefault="00D560C3" w:rsidP="00D560C3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0C3">
        <w:rPr>
          <w:rFonts w:ascii="Times New Roman" w:hAnsi="Times New Roman" w:cs="Times New Roman"/>
          <w:b/>
          <w:sz w:val="24"/>
          <w:szCs w:val="24"/>
        </w:rPr>
        <w:t>EDUCATIONAL PROGRAMS AND ORGANIZATIONS (AAEPO)</w:t>
      </w:r>
    </w:p>
    <w:p w:rsidR="00D560C3" w:rsidRDefault="00D560C3" w:rsidP="00D560C3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0C3" w:rsidRPr="00D560C3" w:rsidRDefault="00D560C3" w:rsidP="00D560C3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t>PRELIMINARY RESULTS OF INTERNATIONAL INSTITUTIONAL AND PROGRAM ACCREDITATION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t>OF THE EDUCATIONAL PROGRAM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br/>
        <w:t>560001 “GENERAL MEDICINE” (5 years)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t>OF THE MEDICAL FACULTY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br/>
        <w:t>OF THE INSTITUTION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60C3">
        <w:rPr>
          <w:rFonts w:ascii="Times New Roman" w:hAnsi="Times New Roman" w:cs="Times New Roman"/>
          <w:b/>
          <w:sz w:val="24"/>
          <w:szCs w:val="24"/>
          <w:lang w:val="en-US"/>
        </w:rPr>
        <w:t>“EURASIAN INTERNATIONAL UNIVERSITY”</w:t>
      </w:r>
    </w:p>
    <w:p w:rsidR="00D560C3" w:rsidRPr="00D560C3" w:rsidRDefault="00D560C3" w:rsidP="00D560C3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1. Quality Assurance Policy in Education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mission of the Medical Faculty is insufficiently specific; there is no clear mechanism for its implementation.</w:t>
      </w:r>
    </w:p>
    <w:p w:rsidR="00D560C3" w:rsidRPr="00D560C3" w:rsidRDefault="00D560C3" w:rsidP="00D560C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objectives of the strategic plan are formulated in an insufficiently specific manner. Some objectives raise doubts regarding their feasibility. For example, Objective 1 aims to train personnel with competitive advantages in the international labor market. Within the timeframe of the strategic plan until 2027, achieving this objective is practically unrealistic. </w:t>
      </w:r>
      <w:proofErr w:type="spellStart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>same</w:t>
      </w:r>
      <w:proofErr w:type="spellEnd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>applies</w:t>
      </w:r>
      <w:proofErr w:type="spellEnd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>Objective</w:t>
      </w:r>
      <w:proofErr w:type="spellEnd"/>
      <w:r w:rsidRPr="00D5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D560C3" w:rsidRPr="00D560C3" w:rsidRDefault="00D560C3" w:rsidP="00D560C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is no document regulating annual monitoring of the implementation of the mission, strategic and operational plans, analysis of results, and introduction of appropriate corrective actions.</w:t>
      </w:r>
    </w:p>
    <w:p w:rsidR="00D560C3" w:rsidRPr="00D560C3" w:rsidRDefault="00D560C3" w:rsidP="00D560C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is no quality management system (QMS) that meets ISO requirements.</w:t>
      </w:r>
    </w:p>
    <w:p w:rsidR="00D560C3" w:rsidRPr="00D560C3" w:rsidRDefault="00D560C3" w:rsidP="00D560C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self-assessment report lacks information on the academic reputation of the university.</w:t>
      </w:r>
    </w:p>
    <w:p w:rsidR="00D560C3" w:rsidRPr="00D560C3" w:rsidRDefault="00D560C3" w:rsidP="00D560C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Frequent changes in the university’s leadership hinder the development of educational quality.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clarify the mission of the faculty and more clearly define the mechanism for its implementation.</w:t>
      </w:r>
    </w:p>
    <w:p w:rsidR="00D560C3" w:rsidRPr="00D560C3" w:rsidRDefault="00D560C3" w:rsidP="00D560C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specify strategic objectives, taking into account their feasibility.</w:t>
      </w:r>
    </w:p>
    <w:p w:rsidR="00D560C3" w:rsidRPr="00D560C3" w:rsidRDefault="00D560C3" w:rsidP="00D560C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01.02.2026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document regulating annual monitoring of the implementation of the mission, strategic and operational plans, analysis of results, and introduction of corrective actions.</w:t>
      </w:r>
    </w:p>
    <w:p w:rsidR="00D560C3" w:rsidRPr="00D560C3" w:rsidRDefault="00D560C3" w:rsidP="00D560C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Within one year, develop and implement a quality management system (QMS) that meets ISO requirements.</w:t>
      </w:r>
    </w:p>
    <w:p w:rsidR="00D560C3" w:rsidRPr="00D560C3" w:rsidRDefault="00D560C3" w:rsidP="00D560C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01.02.2026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to enhance the academic reputation of the university.</w:t>
      </w:r>
    </w:p>
    <w:p w:rsidR="00D560C3" w:rsidRPr="00D560C3" w:rsidRDefault="00D560C3" w:rsidP="00D560C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Within the current academic year, revise and implement an effective system for staff retention and motivation.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STANDARD 2. </w:t>
      </w: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Educational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Program</w:t>
      </w:r>
      <w:proofErr w:type="spellEnd"/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work on the development and publication of in-house teaching and methodological materials.</w:t>
      </w:r>
    </w:p>
    <w:p w:rsidR="00D560C3" w:rsidRPr="00D560C3" w:rsidRDefault="00D560C3" w:rsidP="00D560C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use of research results in the educational process.</w:t>
      </w:r>
    </w:p>
    <w:p w:rsidR="00D560C3" w:rsidRPr="00D560C3" w:rsidRDefault="00D560C3" w:rsidP="00D560C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 disciplines in the curriculum are not delivered due to a shortage of teaching staff.</w:t>
      </w:r>
    </w:p>
    <w:p w:rsidR="00D560C3" w:rsidRPr="00D560C3" w:rsidRDefault="00D560C3" w:rsidP="00D560C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Violations in the sequence of delivery of certain disciplines have been observed.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01.03.2026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for the preparation and publication of teaching and methodological materials, including annual analysis of results and subsequent corrective actions.</w:t>
      </w:r>
    </w:p>
    <w:p w:rsidR="00D560C3" w:rsidRPr="00D560C3" w:rsidRDefault="00D560C3" w:rsidP="00D560C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Within one year, develop a plan of measures to enhance the use of research results in the educational process, with further annual monitoring of implementation.</w:t>
      </w:r>
    </w:p>
    <w:p w:rsidR="00D560C3" w:rsidRPr="00D560C3" w:rsidRDefault="00D560C3" w:rsidP="00D560C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01.03.2025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in order to reduce staff turnover, develop and implement a plan of measures to motivate teaching staff, with annual analysis of results.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3. Student-Centered Learning and Assessment of Learning Outcomes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student participation in scientific and educational activities.</w:t>
      </w:r>
    </w:p>
    <w:p w:rsidR="00D560C3" w:rsidRPr="00D560C3" w:rsidRDefault="00D560C3" w:rsidP="00D560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Language barriers (Kyrgyz and Russian languages) hinder the development of students’ clinical skills.</w:t>
      </w:r>
    </w:p>
    <w:p w:rsidR="00D560C3" w:rsidRPr="00D560C3" w:rsidRDefault="00D560C3" w:rsidP="00D560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involvement of teachers in overcoming language barriers during student–patient communication in clinical practice.</w:t>
      </w:r>
    </w:p>
    <w:p w:rsidR="00D560C3" w:rsidRPr="00D560C3" w:rsidRDefault="00D560C3" w:rsidP="00D560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 no measures in place to introduce changes based on the analysis of student feedback.</w:t>
      </w:r>
    </w:p>
    <w:p w:rsidR="00D560C3" w:rsidRPr="00D560C3" w:rsidRDefault="00D560C3" w:rsidP="00D560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Information on assessment methods and forms on the website is published only in Russian.</w:t>
      </w:r>
    </w:p>
    <w:p w:rsidR="00D560C3" w:rsidRPr="00D560C3" w:rsidRDefault="00D560C3" w:rsidP="00D560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is no academic mobility of students.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Within the current academic year, develop a plan of measures to promote student participation in international scientific and educational activities, with annual updates and analysis of results.</w:t>
      </w:r>
    </w:p>
    <w:p w:rsidR="00D560C3" w:rsidRPr="00D560C3" w:rsidRDefault="00D560C3" w:rsidP="00D560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Within one year, develop a medical phrasebook for student–patient communication (English, Russian, and Kyrgyz).</w:t>
      </w:r>
    </w:p>
    <w:p w:rsidR="00D560C3" w:rsidRPr="00D560C3" w:rsidRDefault="00D560C3" w:rsidP="00D560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01.09.2025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revise the internship/practical training program and the roles of teaching staff to eliminate language barriers in student–patient communication during practice.</w:t>
      </w:r>
    </w:p>
    <w:p w:rsidR="00D560C3" w:rsidRPr="00D560C3" w:rsidRDefault="00D560C3" w:rsidP="00D560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 and implement a plan of measures to introduce changes into the educational process based on the analysis of student feedback.</w:t>
      </w:r>
    </w:p>
    <w:p w:rsidR="00D560C3" w:rsidRPr="00D560C3" w:rsidRDefault="00D560C3" w:rsidP="00D560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01.03.2026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publish information on assessment methods and forms on the website in English and Kyrgyz.</w:t>
      </w:r>
    </w:p>
    <w:p w:rsidR="00D560C3" w:rsidRPr="00D560C3" w:rsidRDefault="00D560C3" w:rsidP="00D560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Develop and implement a plan of measures to improve student academic mobility 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4. Student Admission and Recognition of Learning Outcomes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Low enrollment rates for first-year students, negatively affecting the financial sustainability of university management.</w:t>
      </w:r>
    </w:p>
    <w:p w:rsidR="00D560C3" w:rsidRPr="00D560C3" w:rsidRDefault="00D560C3" w:rsidP="00D560C3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 analysis of graduate employment is conducted.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the end of the current academic year, develop and implement a plan of measures to increase student enrollment, including annual analysis of results and corrective actions.</w:t>
      </w:r>
    </w:p>
    <w:p w:rsidR="00D560C3" w:rsidRPr="00D560C3" w:rsidRDefault="00D560C3" w:rsidP="00D560C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July 1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each academic year, conduct an analysis of graduate employment, followed by appropriate corrective actions.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5. Teaching and Academic Support Staff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percentage of teaching staff holding academic degrees in medicine is below licensing requirements.</w:t>
      </w:r>
    </w:p>
    <w:p w:rsidR="00D560C3" w:rsidRPr="00D560C3" w:rsidRDefault="00D560C3" w:rsidP="00D560C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academic mobility of teaching staff.</w:t>
      </w:r>
    </w:p>
    <w:p w:rsidR="00D560C3" w:rsidRPr="00D560C3" w:rsidRDefault="00D560C3" w:rsidP="00D560C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staff turnover among academic staff.</w:t>
      </w:r>
    </w:p>
    <w:p w:rsidR="00D560C3" w:rsidRPr="00D560C3" w:rsidRDefault="00D560C3" w:rsidP="00D560C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number of teachers in clinical disciplines.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Within two years, increase the percentage of teaching staff holding academic degrees in medicine to meet licensing requirements.</w:t>
      </w:r>
    </w:p>
    <w:p w:rsidR="00D560C3" w:rsidRPr="00D560C3" w:rsidRDefault="00D560C3" w:rsidP="00D560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Within one year, develop and implement a plan of measures to improve academic mobility of teaching staff, with annual analysis of results and appropriate adjustments.</w:t>
      </w:r>
    </w:p>
    <w:p w:rsidR="00D560C3" w:rsidRPr="00D560C3" w:rsidRDefault="00D560C3" w:rsidP="00D560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01.03.2026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of measures to reduce staff turnover among academic staff, with annual monitoring of implementation.</w:t>
      </w:r>
    </w:p>
    <w:p w:rsidR="00D560C3" w:rsidRPr="00D560C3" w:rsidRDefault="00D560C3" w:rsidP="00D560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01.09.2026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eliminate the shortage of teachers in clinical disciplines.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6. Material, Technical, and Information Resources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activity of founders in attracting additional investments for the development of the institution’s infrastructure.</w:t>
      </w:r>
    </w:p>
    <w:p w:rsidR="00D560C3" w:rsidRPr="00D560C3" w:rsidRDefault="00D560C3" w:rsidP="00D560C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Well-designed premises, especially in terms of presenting the history of medical science.</w:t>
      </w:r>
    </w:p>
    <w:p w:rsidR="00D560C3" w:rsidRPr="00D560C3" w:rsidRDefault="00D560C3" w:rsidP="00D560C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well-equipped library and strong information resources.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equipment of the simulation center with mannequins, medical devices, and medical equipment required for teaching clinical disciplines.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01.09.2026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further equip the simulation center with modern mannequins, medical devices, and medical equipment for teaching clinical disciplines.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7. Scientific, Methodological, and Research Activities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Scientific, methodological, and research activities at the university are conducted at a low level.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the end of the current academic year, develop and implement a plan for scientific, methodological, and research activities, including annual analysis of results and corrective measures.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STANDARD 8. Minimum Requirements for Planning and Management of Financial 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Resources of an Educational Organization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Weaknesses: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560C3" w:rsidRPr="00D560C3" w:rsidRDefault="00D560C3" w:rsidP="00D560C3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Absence of regulations and a document workflow schedule.</w:t>
      </w:r>
    </w:p>
    <w:p w:rsidR="00D560C3" w:rsidRPr="00D560C3" w:rsidRDefault="00D560C3" w:rsidP="00D560C3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Absence of a collective agreement between staff and the university administration.</w:t>
      </w:r>
    </w:p>
    <w:p w:rsidR="00D560C3" w:rsidRPr="00D560C3" w:rsidRDefault="00D560C3" w:rsidP="00D560C3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Lack of additional funding sources, such as grants and funds from international educational and research projects.</w:t>
      </w: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0C3" w:rsidRPr="00D560C3" w:rsidRDefault="00D560C3" w:rsidP="00D560C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regulations on document management, including a document workflow schedule.</w:t>
      </w:r>
    </w:p>
    <w:p w:rsidR="00D560C3" w:rsidRPr="00D560C3" w:rsidRDefault="00D560C3" w:rsidP="00D560C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 and implement a collective agreement between university staff and administration.</w:t>
      </w:r>
    </w:p>
    <w:p w:rsidR="00D560C3" w:rsidRPr="00D560C3" w:rsidRDefault="00D560C3" w:rsidP="00D560C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 a working group to develop project proposals aimed at increasing the university budget through additional funding sources (grants and funds from international educational and research projects).</w:t>
      </w:r>
    </w:p>
    <w:p w:rsidR="00D560C3" w:rsidRPr="00D560C3" w:rsidRDefault="00D560C3" w:rsidP="00D560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C3" w:rsidRPr="00D560C3" w:rsidRDefault="00D560C3" w:rsidP="00D560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09–10 </w:t>
      </w:r>
      <w:proofErr w:type="spellStart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December</w:t>
      </w:r>
      <w:proofErr w:type="spellEnd"/>
      <w:r w:rsidRPr="00D5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</w:p>
    <w:p w:rsidR="002F1C3D" w:rsidRPr="00D560C3" w:rsidRDefault="002F1C3D" w:rsidP="00D560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1C3D" w:rsidRPr="00D5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B2D"/>
    <w:multiLevelType w:val="multilevel"/>
    <w:tmpl w:val="CE86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4715F"/>
    <w:multiLevelType w:val="multilevel"/>
    <w:tmpl w:val="3F68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17798"/>
    <w:multiLevelType w:val="multilevel"/>
    <w:tmpl w:val="B67C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24902"/>
    <w:multiLevelType w:val="multilevel"/>
    <w:tmpl w:val="520A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A3A81"/>
    <w:multiLevelType w:val="multilevel"/>
    <w:tmpl w:val="58A6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76EC9"/>
    <w:multiLevelType w:val="multilevel"/>
    <w:tmpl w:val="DA86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F2E3D"/>
    <w:multiLevelType w:val="multilevel"/>
    <w:tmpl w:val="2442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A24C5"/>
    <w:multiLevelType w:val="multilevel"/>
    <w:tmpl w:val="B3A8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8372F"/>
    <w:multiLevelType w:val="multilevel"/>
    <w:tmpl w:val="924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F3696"/>
    <w:multiLevelType w:val="multilevel"/>
    <w:tmpl w:val="A0D4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4030A"/>
    <w:multiLevelType w:val="multilevel"/>
    <w:tmpl w:val="A40E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D221B"/>
    <w:multiLevelType w:val="multilevel"/>
    <w:tmpl w:val="283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F0104"/>
    <w:multiLevelType w:val="multilevel"/>
    <w:tmpl w:val="4384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962D4"/>
    <w:multiLevelType w:val="multilevel"/>
    <w:tmpl w:val="40B8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81673A"/>
    <w:multiLevelType w:val="multilevel"/>
    <w:tmpl w:val="F8AA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81194"/>
    <w:multiLevelType w:val="multilevel"/>
    <w:tmpl w:val="3058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30DCA"/>
    <w:multiLevelType w:val="multilevel"/>
    <w:tmpl w:val="48D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4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C3"/>
    <w:rsid w:val="002F1C3D"/>
    <w:rsid w:val="005C3791"/>
    <w:rsid w:val="006C77AF"/>
    <w:rsid w:val="00D5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DF49"/>
  <w15:chartTrackingRefBased/>
  <w15:docId w15:val="{AD62CB0F-5E63-4C11-8598-B67C08A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6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0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0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Kubanych Ramatov</dc:creator>
  <cp:keywords/>
  <dc:description/>
  <cp:lastModifiedBy>Kubanych Ramatov</cp:lastModifiedBy>
  <cp:revision>1</cp:revision>
  <dcterms:created xsi:type="dcterms:W3CDTF">2025-12-31T04:09:00Z</dcterms:created>
  <dcterms:modified xsi:type="dcterms:W3CDTF">2025-12-31T04:18:00Z</dcterms:modified>
</cp:coreProperties>
</file>